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黑体" w:hAnsi="黑体" w:eastAsia="黑体"/>
          <w:sz w:val="44"/>
          <w:szCs w:val="44"/>
        </w:rPr>
      </w:pPr>
      <w:bookmarkStart w:id="3" w:name="_GoBack"/>
      <w:bookmarkEnd w:id="3"/>
      <w:r>
        <w:rPr>
          <w:rFonts w:hint="eastAsia" w:ascii="黑体" w:hAnsi="黑体" w:eastAsia="黑体"/>
          <w:sz w:val="44"/>
          <w:szCs w:val="44"/>
        </w:rPr>
        <w:t>化工园区安全风险排查治理导则</w:t>
      </w:r>
    </w:p>
    <w:p>
      <w:pPr>
        <w:spacing w:line="560" w:lineRule="exact"/>
        <w:jc w:val="center"/>
        <w:rPr>
          <w:rFonts w:hint="eastAsia" w:ascii="黑体" w:hAnsi="黑体" w:eastAsia="黑体"/>
          <w:sz w:val="32"/>
          <w:szCs w:val="32"/>
        </w:rPr>
      </w:pPr>
      <w:r>
        <w:rPr>
          <w:rFonts w:hint="eastAsia" w:ascii="黑体" w:hAnsi="黑体" w:eastAsia="黑体"/>
          <w:sz w:val="32"/>
          <w:szCs w:val="32"/>
        </w:rPr>
        <w:t>（</w:t>
      </w:r>
      <w:r>
        <w:rPr>
          <w:rFonts w:hint="eastAsia" w:ascii="楷体" w:hAnsi="楷体" w:eastAsia="楷体"/>
          <w:sz w:val="32"/>
          <w:szCs w:val="32"/>
        </w:rPr>
        <w:t>征求意见稿</w:t>
      </w:r>
      <w:r>
        <w:rPr>
          <w:rFonts w:hint="eastAsia" w:ascii="黑体" w:hAnsi="黑体" w:eastAsia="黑体"/>
          <w:sz w:val="32"/>
          <w:szCs w:val="32"/>
        </w:rPr>
        <w:t>）</w:t>
      </w:r>
    </w:p>
    <w:p>
      <w:pPr>
        <w:spacing w:line="560" w:lineRule="exact"/>
        <w:ind w:firstLine="632" w:firstLineChars="200"/>
        <w:jc w:val="left"/>
        <w:outlineLvl w:val="0"/>
        <w:rPr>
          <w:rFonts w:ascii="仿宋_GB2312" w:eastAsia="仿宋_GB2312"/>
          <w:b/>
          <w:sz w:val="32"/>
          <w:szCs w:val="32"/>
        </w:rPr>
      </w:pPr>
      <w:r>
        <w:rPr>
          <w:rFonts w:hint="eastAsia" w:ascii="仿宋_GB2312" w:eastAsia="仿宋_GB2312"/>
          <w:b/>
          <w:sz w:val="32"/>
          <w:szCs w:val="32"/>
        </w:rPr>
        <w:t>1 总则</w:t>
      </w:r>
    </w:p>
    <w:p>
      <w:pPr>
        <w:spacing w:line="560" w:lineRule="exact"/>
        <w:ind w:firstLine="632" w:firstLineChars="200"/>
        <w:outlineLvl w:val="1"/>
        <w:rPr>
          <w:rFonts w:ascii="仿宋_GB2312" w:eastAsia="仿宋_GB2312"/>
          <w:sz w:val="32"/>
          <w:szCs w:val="32"/>
        </w:rPr>
      </w:pPr>
      <w:r>
        <w:rPr>
          <w:rFonts w:hint="eastAsia" w:ascii="仿宋_GB2312" w:eastAsia="仿宋_GB2312"/>
          <w:sz w:val="32"/>
          <w:szCs w:val="32"/>
        </w:rPr>
        <w:t>1.1 目的</w:t>
      </w:r>
    </w:p>
    <w:p>
      <w:pPr>
        <w:spacing w:line="560" w:lineRule="exact"/>
        <w:ind w:firstLine="632" w:firstLineChars="200"/>
        <w:rPr>
          <w:rFonts w:ascii="仿宋_GB2312" w:eastAsia="仿宋_GB2312"/>
          <w:sz w:val="32"/>
          <w:szCs w:val="32"/>
        </w:rPr>
      </w:pPr>
      <w:r>
        <w:rPr>
          <w:rFonts w:hint="eastAsia" w:ascii="仿宋_GB2312" w:hAnsi="Times New Roman" w:eastAsia="仿宋_GB2312"/>
          <w:sz w:val="32"/>
          <w:szCs w:val="32"/>
        </w:rPr>
        <w:t>为全面排查化工园区安全风险，</w:t>
      </w:r>
      <w:r>
        <w:rPr>
          <w:rFonts w:hint="eastAsia" w:ascii="仿宋_GB2312" w:eastAsia="仿宋_GB2312"/>
          <w:sz w:val="32"/>
          <w:szCs w:val="32"/>
        </w:rPr>
        <w:t>规范化工园区建设和安全管理，</w:t>
      </w:r>
      <w:r>
        <w:rPr>
          <w:rFonts w:hint="eastAsia" w:ascii="仿宋_GB2312" w:hAnsi="Times New Roman" w:eastAsia="仿宋_GB2312"/>
          <w:sz w:val="32"/>
          <w:szCs w:val="32"/>
        </w:rPr>
        <w:t>系统提升化工园区本质安全水平，</w:t>
      </w:r>
      <w:r>
        <w:rPr>
          <w:rFonts w:hint="eastAsia" w:ascii="仿宋_GB2312" w:eastAsia="仿宋_GB2312"/>
          <w:sz w:val="32"/>
          <w:szCs w:val="32"/>
        </w:rPr>
        <w:t>增强化工园区安全应急保障能力，防范危险化学品重特大安全事故，依据《安全生产法》《危险化学品安全管理条例》等有关法律法规和标准规范，制定本导则。</w:t>
      </w:r>
    </w:p>
    <w:p>
      <w:pPr>
        <w:spacing w:line="560" w:lineRule="exact"/>
        <w:ind w:firstLine="632" w:firstLineChars="200"/>
        <w:outlineLvl w:val="1"/>
        <w:rPr>
          <w:rFonts w:ascii="仿宋_GB2312" w:eastAsia="仿宋_GB2312"/>
          <w:sz w:val="32"/>
          <w:szCs w:val="32"/>
        </w:rPr>
      </w:pPr>
      <w:r>
        <w:rPr>
          <w:rFonts w:hint="eastAsia" w:ascii="仿宋_GB2312" w:eastAsia="仿宋_GB2312"/>
          <w:sz w:val="32"/>
          <w:szCs w:val="32"/>
        </w:rPr>
        <w:t>1.2 适用范围</w:t>
      </w:r>
    </w:p>
    <w:p>
      <w:pPr>
        <w:spacing w:line="560" w:lineRule="exact"/>
        <w:ind w:firstLine="632" w:firstLineChars="200"/>
        <w:rPr>
          <w:rFonts w:ascii="仿宋_GB2312" w:eastAsia="仿宋_GB2312"/>
          <w:sz w:val="32"/>
          <w:szCs w:val="32"/>
        </w:rPr>
      </w:pPr>
      <w:r>
        <w:rPr>
          <w:rFonts w:hint="eastAsia" w:ascii="仿宋_GB2312" w:eastAsia="仿宋_GB2312"/>
          <w:sz w:val="32"/>
          <w:szCs w:val="32"/>
        </w:rPr>
        <w:t>本导则适用于</w:t>
      </w:r>
      <w:r>
        <w:rPr>
          <w:rFonts w:ascii="Times New Roman" w:hAnsi="Times New Roman" w:eastAsia="仿宋_GB2312"/>
          <w:sz w:val="32"/>
          <w:szCs w:val="32"/>
        </w:rPr>
        <w:t>化工园区</w:t>
      </w:r>
      <w:r>
        <w:rPr>
          <w:rFonts w:hint="eastAsia" w:ascii="仿宋_GB2312" w:eastAsia="仿宋_GB2312"/>
          <w:sz w:val="32"/>
          <w:szCs w:val="32"/>
        </w:rPr>
        <w:t>的安全风险排查治理。</w:t>
      </w:r>
    </w:p>
    <w:p>
      <w:pPr>
        <w:spacing w:line="560" w:lineRule="exact"/>
        <w:ind w:firstLine="632" w:firstLineChars="200"/>
        <w:outlineLvl w:val="1"/>
        <w:rPr>
          <w:rFonts w:ascii="仿宋_GB2312" w:eastAsia="仿宋_GB2312"/>
          <w:sz w:val="32"/>
          <w:szCs w:val="32"/>
        </w:rPr>
      </w:pPr>
      <w:r>
        <w:rPr>
          <w:rFonts w:hint="eastAsia" w:ascii="仿宋_GB2312" w:eastAsia="仿宋_GB2312"/>
          <w:sz w:val="32"/>
          <w:szCs w:val="32"/>
        </w:rPr>
        <w:t>1.3基本原则</w:t>
      </w:r>
    </w:p>
    <w:p>
      <w:pPr>
        <w:spacing w:line="560" w:lineRule="exact"/>
        <w:ind w:firstLine="645"/>
        <w:outlineLvl w:val="2"/>
        <w:rPr>
          <w:rFonts w:ascii="仿宋_GB2312" w:hAnsi="Times New Roman" w:eastAsia="仿宋_GB2312"/>
          <w:sz w:val="32"/>
          <w:szCs w:val="32"/>
        </w:rPr>
      </w:pPr>
      <w:r>
        <w:rPr>
          <w:rFonts w:hint="eastAsia" w:ascii="仿宋_GB2312" w:eastAsia="仿宋_GB2312"/>
          <w:sz w:val="32"/>
          <w:szCs w:val="32"/>
        </w:rPr>
        <w:t>1.3.1</w:t>
      </w:r>
      <w:r>
        <w:rPr>
          <w:rFonts w:hint="eastAsia" w:ascii="仿宋_GB2312" w:hAnsi="Times New Roman" w:eastAsia="仿宋_GB2312"/>
          <w:sz w:val="32"/>
          <w:szCs w:val="32"/>
        </w:rPr>
        <w:t>科学规划,合理布局。</w:t>
      </w:r>
    </w:p>
    <w:p>
      <w:pPr>
        <w:spacing w:line="560" w:lineRule="exact"/>
        <w:ind w:firstLine="645"/>
        <w:outlineLvl w:val="2"/>
        <w:rPr>
          <w:rFonts w:ascii="仿宋_GB2312" w:hAnsi="Times New Roman" w:eastAsia="仿宋_GB2312"/>
          <w:sz w:val="32"/>
          <w:szCs w:val="32"/>
        </w:rPr>
      </w:pPr>
      <w:r>
        <w:rPr>
          <w:rFonts w:hint="eastAsia" w:ascii="仿宋_GB2312" w:hAnsi="Times New Roman" w:eastAsia="仿宋_GB2312"/>
          <w:sz w:val="32"/>
          <w:szCs w:val="32"/>
        </w:rPr>
        <w:t>坚持产业集聚、布局集中、用地集约和安全环保的原则，规范园区的设立和选址，严格规划区域功能，优化园区安全布局，完善公用工程配套和安全保障设施。</w:t>
      </w:r>
    </w:p>
    <w:p>
      <w:pPr>
        <w:spacing w:line="560" w:lineRule="exact"/>
        <w:ind w:firstLine="645"/>
        <w:outlineLvl w:val="2"/>
        <w:rPr>
          <w:rFonts w:ascii="仿宋_GB2312" w:hAnsi="Times New Roman" w:eastAsia="仿宋_GB2312"/>
          <w:sz w:val="32"/>
          <w:szCs w:val="32"/>
        </w:rPr>
      </w:pPr>
      <w:r>
        <w:rPr>
          <w:rFonts w:hint="eastAsia" w:ascii="仿宋_GB2312" w:hAnsi="Times New Roman" w:eastAsia="仿宋_GB2312"/>
          <w:sz w:val="32"/>
          <w:szCs w:val="32"/>
        </w:rPr>
        <w:t>1.3.2严格准入，规范管理。</w:t>
      </w:r>
    </w:p>
    <w:p>
      <w:pPr>
        <w:spacing w:line="560" w:lineRule="exact"/>
        <w:ind w:firstLine="645"/>
        <w:outlineLvl w:val="2"/>
        <w:rPr>
          <w:rFonts w:ascii="仿宋_GB2312" w:hAnsi="Times New Roman" w:eastAsia="仿宋_GB2312"/>
          <w:sz w:val="32"/>
          <w:szCs w:val="32"/>
        </w:rPr>
      </w:pPr>
      <w:r>
        <w:rPr>
          <w:rFonts w:hint="eastAsia" w:ascii="仿宋_GB2312" w:hAnsi="Times New Roman" w:eastAsia="仿宋_GB2312"/>
          <w:sz w:val="32"/>
          <w:szCs w:val="32"/>
        </w:rPr>
        <w:t>坚持严格准入，严禁落后和不成熟工艺的危险化学品建设项目入园。坚持一体化管理，提升园区应急保障能力，规范化工园区建设和安全管理。</w:t>
      </w:r>
    </w:p>
    <w:p>
      <w:pPr>
        <w:spacing w:line="560" w:lineRule="exact"/>
        <w:ind w:firstLine="632" w:firstLineChars="200"/>
        <w:rPr>
          <w:rFonts w:ascii="仿宋_GB2312" w:hAnsi="Times New Roman" w:eastAsia="仿宋_GB2312"/>
          <w:sz w:val="32"/>
          <w:szCs w:val="32"/>
        </w:rPr>
      </w:pPr>
      <w:r>
        <w:rPr>
          <w:rFonts w:hint="eastAsia" w:ascii="仿宋_GB2312" w:hAnsi="Times New Roman" w:eastAsia="仿宋_GB2312"/>
          <w:sz w:val="32"/>
          <w:szCs w:val="32"/>
        </w:rPr>
        <w:t>1.3.3系统排查，重点整治。</w:t>
      </w:r>
    </w:p>
    <w:p>
      <w:pPr>
        <w:spacing w:line="560" w:lineRule="exact"/>
        <w:ind w:firstLine="632" w:firstLineChars="200"/>
        <w:rPr>
          <w:rFonts w:hint="eastAsia" w:ascii="仿宋_GB2312" w:hAnsi="Times New Roman" w:eastAsia="仿宋_GB2312"/>
          <w:sz w:val="32"/>
          <w:szCs w:val="32"/>
        </w:rPr>
      </w:pPr>
      <w:r>
        <w:rPr>
          <w:rFonts w:hint="eastAsia" w:ascii="仿宋_GB2312" w:hAnsi="Times New Roman" w:eastAsia="仿宋_GB2312"/>
          <w:sz w:val="32"/>
          <w:szCs w:val="32"/>
        </w:rPr>
        <w:t>全面排查化工园区安全风险，突出对化工园区系统性安全风险的整治，提升园区本质安全水平，避免多米诺效应，</w:t>
      </w:r>
      <w:r>
        <w:rPr>
          <w:rFonts w:hint="eastAsia" w:ascii="仿宋_GB2312" w:eastAsia="仿宋_GB2312"/>
          <w:sz w:val="32"/>
          <w:szCs w:val="32"/>
        </w:rPr>
        <w:t>防范危险化学品重特大安全事故发生</w:t>
      </w:r>
      <w:r>
        <w:rPr>
          <w:rFonts w:hint="eastAsia" w:ascii="仿宋_GB2312" w:hAnsi="Times New Roman" w:eastAsia="仿宋_GB2312"/>
          <w:sz w:val="32"/>
          <w:szCs w:val="32"/>
        </w:rPr>
        <w:t xml:space="preserve">。 </w:t>
      </w:r>
    </w:p>
    <w:p>
      <w:pPr>
        <w:spacing w:line="560" w:lineRule="exact"/>
        <w:ind w:firstLine="632" w:firstLineChars="200"/>
        <w:outlineLvl w:val="0"/>
        <w:rPr>
          <w:rFonts w:ascii="仿宋_GB2312" w:eastAsia="仿宋_GB2312"/>
          <w:b/>
          <w:sz w:val="32"/>
          <w:szCs w:val="32"/>
        </w:rPr>
      </w:pPr>
      <w:r>
        <w:rPr>
          <w:rFonts w:hint="eastAsia" w:ascii="仿宋_GB2312" w:eastAsia="仿宋_GB2312"/>
          <w:b/>
          <w:sz w:val="32"/>
          <w:szCs w:val="32"/>
        </w:rPr>
        <w:t>2 术语和定义</w:t>
      </w:r>
    </w:p>
    <w:p>
      <w:pPr>
        <w:spacing w:line="560" w:lineRule="exact"/>
        <w:ind w:firstLine="632" w:firstLineChars="200"/>
        <w:outlineLvl w:val="1"/>
        <w:rPr>
          <w:rFonts w:ascii="仿宋_GB2312" w:eastAsia="仿宋_GB2312"/>
          <w:sz w:val="32"/>
          <w:szCs w:val="32"/>
        </w:rPr>
      </w:pPr>
      <w:r>
        <w:rPr>
          <w:rFonts w:hint="eastAsia" w:ascii="仿宋_GB2312" w:eastAsia="仿宋_GB2312"/>
          <w:sz w:val="32"/>
          <w:szCs w:val="32"/>
        </w:rPr>
        <w:t>2.1化工园区</w:t>
      </w:r>
    </w:p>
    <w:p>
      <w:pPr>
        <w:spacing w:line="560" w:lineRule="exact"/>
        <w:ind w:firstLine="632" w:firstLineChars="200"/>
        <w:outlineLvl w:val="1"/>
        <w:rPr>
          <w:rFonts w:ascii="仿宋_GB2312" w:eastAsia="仿宋_GB2312"/>
          <w:sz w:val="32"/>
          <w:szCs w:val="32"/>
        </w:rPr>
      </w:pPr>
      <w:r>
        <w:rPr>
          <w:rFonts w:hint="eastAsia" w:ascii="Times New Roman" w:hAnsi="Times New Roman" w:eastAsia="仿宋_GB2312"/>
          <w:sz w:val="32"/>
          <w:szCs w:val="32"/>
        </w:rPr>
        <w:t>地方人民政府依法设立的用于</w:t>
      </w:r>
      <w:r>
        <w:rPr>
          <w:rFonts w:ascii="Times New Roman" w:hAnsi="Times New Roman" w:eastAsia="仿宋_GB2312"/>
          <w:sz w:val="32"/>
          <w:szCs w:val="32"/>
        </w:rPr>
        <w:t>专门发展化工产业的工业区或集中区</w:t>
      </w:r>
      <w:r>
        <w:rPr>
          <w:rFonts w:hint="eastAsia" w:ascii="Times New Roman" w:hAnsi="Times New Roman" w:eastAsia="仿宋_GB2312"/>
          <w:sz w:val="32"/>
          <w:szCs w:val="32"/>
        </w:rPr>
        <w:t>。</w:t>
      </w:r>
    </w:p>
    <w:p>
      <w:pPr>
        <w:spacing w:line="560" w:lineRule="exact"/>
        <w:ind w:firstLine="632" w:firstLineChars="200"/>
        <w:outlineLvl w:val="1"/>
        <w:rPr>
          <w:rFonts w:ascii="仿宋_GB2312" w:eastAsia="仿宋_GB2312"/>
          <w:sz w:val="32"/>
          <w:szCs w:val="32"/>
        </w:rPr>
      </w:pPr>
      <w:r>
        <w:rPr>
          <w:rFonts w:hint="eastAsia" w:ascii="仿宋_GB2312" w:eastAsia="仿宋_GB2312"/>
          <w:sz w:val="32"/>
          <w:szCs w:val="32"/>
        </w:rPr>
        <w:t>2.2防护目标</w:t>
      </w:r>
    </w:p>
    <w:p>
      <w:pPr>
        <w:spacing w:line="560" w:lineRule="exact"/>
        <w:ind w:firstLine="632" w:firstLineChars="200"/>
        <w:outlineLvl w:val="1"/>
        <w:rPr>
          <w:rFonts w:ascii="仿宋_GB2312" w:eastAsia="仿宋_GB2312"/>
          <w:sz w:val="32"/>
          <w:szCs w:val="32"/>
        </w:rPr>
      </w:pPr>
      <w:r>
        <w:rPr>
          <w:rFonts w:hint="eastAsia" w:ascii="仿宋_GB2312" w:eastAsia="仿宋_GB2312"/>
          <w:sz w:val="32"/>
          <w:szCs w:val="32"/>
        </w:rPr>
        <w:t>受化工园区危险化学品安全事故影响，化工园区外可能发生人员伤亡、财产损失的设施或场所。</w:t>
      </w:r>
    </w:p>
    <w:p>
      <w:pPr>
        <w:spacing w:line="560" w:lineRule="exact"/>
        <w:ind w:firstLine="632" w:firstLineChars="200"/>
        <w:outlineLvl w:val="1"/>
        <w:rPr>
          <w:rFonts w:ascii="仿宋_GB2312" w:eastAsia="仿宋_GB2312"/>
          <w:sz w:val="32"/>
          <w:szCs w:val="32"/>
        </w:rPr>
      </w:pPr>
      <w:r>
        <w:rPr>
          <w:rFonts w:hint="eastAsia" w:ascii="仿宋_GB2312" w:eastAsia="仿宋_GB2312"/>
          <w:sz w:val="32"/>
          <w:szCs w:val="32"/>
        </w:rPr>
        <w:t>2.3 多米诺效应</w:t>
      </w:r>
    </w:p>
    <w:p>
      <w:pPr>
        <w:spacing w:line="560" w:lineRule="exact"/>
        <w:ind w:firstLine="632" w:firstLineChars="200"/>
        <w:rPr>
          <w:rFonts w:ascii="仿宋_GB2312" w:eastAsia="仿宋_GB2312"/>
          <w:sz w:val="32"/>
          <w:szCs w:val="32"/>
        </w:rPr>
      </w:pPr>
      <w:r>
        <w:rPr>
          <w:rFonts w:hint="eastAsia" w:ascii="仿宋_GB2312" w:eastAsia="仿宋_GB2312"/>
          <w:sz w:val="32"/>
          <w:szCs w:val="32"/>
        </w:rPr>
        <w:t>化工</w:t>
      </w:r>
      <w:r>
        <w:rPr>
          <w:rFonts w:ascii="仿宋_GB2312" w:eastAsia="仿宋_GB2312"/>
          <w:sz w:val="32"/>
          <w:szCs w:val="32"/>
        </w:rPr>
        <w:t>园区内</w:t>
      </w:r>
      <w:r>
        <w:rPr>
          <w:rFonts w:hint="eastAsia" w:ascii="仿宋_GB2312" w:eastAsia="仿宋_GB2312"/>
          <w:sz w:val="32"/>
          <w:szCs w:val="32"/>
        </w:rPr>
        <w:t>一个企业</w:t>
      </w:r>
      <w:r>
        <w:rPr>
          <w:rFonts w:ascii="仿宋_GB2312" w:eastAsia="仿宋_GB2312"/>
          <w:sz w:val="32"/>
          <w:szCs w:val="32"/>
        </w:rPr>
        <w:t>的</w:t>
      </w:r>
      <w:r>
        <w:rPr>
          <w:rFonts w:hint="eastAsia" w:ascii="仿宋_GB2312" w:eastAsia="仿宋_GB2312"/>
          <w:sz w:val="32"/>
          <w:szCs w:val="32"/>
        </w:rPr>
        <w:t>危险源发生安全事故时可能会引起其他</w:t>
      </w:r>
      <w:r>
        <w:rPr>
          <w:rFonts w:ascii="仿宋_GB2312" w:eastAsia="仿宋_GB2312"/>
          <w:sz w:val="32"/>
          <w:szCs w:val="32"/>
        </w:rPr>
        <w:t>企业</w:t>
      </w:r>
      <w:r>
        <w:rPr>
          <w:rFonts w:hint="eastAsia" w:ascii="仿宋_GB2312" w:eastAsia="仿宋_GB2312"/>
          <w:sz w:val="32"/>
          <w:szCs w:val="32"/>
        </w:rPr>
        <w:t>的危险源也相继发生安全事故，从而造成更大的安全事故的效应。</w:t>
      </w:r>
    </w:p>
    <w:p>
      <w:pPr>
        <w:spacing w:line="560" w:lineRule="exact"/>
        <w:ind w:firstLine="632" w:firstLineChars="200"/>
        <w:outlineLvl w:val="1"/>
        <w:rPr>
          <w:rFonts w:ascii="仿宋_GB2312" w:eastAsia="仿宋_GB2312"/>
          <w:sz w:val="32"/>
          <w:szCs w:val="32"/>
        </w:rPr>
      </w:pPr>
      <w:r>
        <w:rPr>
          <w:rFonts w:hint="eastAsia" w:ascii="仿宋_GB2312" w:eastAsia="仿宋_GB2312"/>
          <w:sz w:val="32"/>
          <w:szCs w:val="32"/>
        </w:rPr>
        <w:t>2.4土地规划安全控制线</w:t>
      </w:r>
    </w:p>
    <w:p>
      <w:pPr>
        <w:spacing w:line="560" w:lineRule="exact"/>
        <w:ind w:firstLine="632" w:firstLineChars="200"/>
        <w:outlineLvl w:val="1"/>
        <w:rPr>
          <w:rFonts w:ascii="仿宋_GB2312" w:eastAsia="仿宋_GB2312"/>
          <w:sz w:val="32"/>
          <w:szCs w:val="32"/>
        </w:rPr>
      </w:pPr>
      <w:r>
        <w:rPr>
          <w:rFonts w:hint="eastAsia" w:ascii="仿宋_GB2312" w:eastAsia="仿宋_GB2312"/>
          <w:sz w:val="32"/>
          <w:szCs w:val="32"/>
        </w:rPr>
        <w:t>为预防和减缓化工园区危险化学品潜在安全事故（火灾、爆炸和中毒等）对化工园区外防护目标的影响，用于规划园区周边土地开发利用的控制线。</w:t>
      </w:r>
    </w:p>
    <w:p>
      <w:pPr>
        <w:spacing w:line="560" w:lineRule="exact"/>
        <w:ind w:firstLine="632" w:firstLineChars="200"/>
        <w:outlineLvl w:val="0"/>
        <w:rPr>
          <w:rFonts w:ascii="仿宋_GB2312" w:eastAsia="仿宋_GB2312"/>
          <w:b/>
          <w:sz w:val="32"/>
          <w:szCs w:val="32"/>
        </w:rPr>
      </w:pPr>
      <w:r>
        <w:rPr>
          <w:rFonts w:hint="eastAsia" w:ascii="仿宋_GB2312" w:eastAsia="仿宋_GB2312"/>
          <w:b/>
          <w:sz w:val="32"/>
          <w:szCs w:val="32"/>
        </w:rPr>
        <w:t>3</w:t>
      </w:r>
      <w:r>
        <w:rPr>
          <w:rFonts w:ascii="仿宋_GB2312" w:eastAsia="仿宋_GB2312"/>
          <w:b/>
          <w:sz w:val="32"/>
          <w:szCs w:val="32"/>
        </w:rPr>
        <w:t xml:space="preserve"> </w:t>
      </w:r>
      <w:r>
        <w:rPr>
          <w:rFonts w:hint="eastAsia" w:ascii="仿宋_GB2312" w:eastAsia="仿宋_GB2312"/>
          <w:b/>
          <w:sz w:val="32"/>
          <w:szCs w:val="32"/>
        </w:rPr>
        <w:t>设立</w:t>
      </w:r>
    </w:p>
    <w:p>
      <w:pPr>
        <w:spacing w:line="560" w:lineRule="exact"/>
        <w:ind w:firstLine="632" w:firstLineChars="200"/>
        <w:outlineLvl w:val="1"/>
        <w:rPr>
          <w:rFonts w:ascii="仿宋_GB2312" w:eastAsia="仿宋_GB2312"/>
          <w:sz w:val="32"/>
          <w:szCs w:val="32"/>
        </w:rPr>
      </w:pPr>
      <w:r>
        <w:rPr>
          <w:rFonts w:hint="eastAsia" w:ascii="仿宋_GB2312" w:eastAsia="仿宋_GB2312"/>
          <w:sz w:val="32"/>
          <w:szCs w:val="32"/>
        </w:rPr>
        <w:t>3.1化工园区应整体规划、集中布置，</w:t>
      </w:r>
      <w:r>
        <w:rPr>
          <w:rFonts w:hint="eastAsia" w:ascii="仿宋_GB2312" w:hAnsi="Times New Roman" w:eastAsia="仿宋_GB2312"/>
          <w:sz w:val="32"/>
          <w:szCs w:val="32"/>
        </w:rPr>
        <w:t>园区内</w:t>
      </w:r>
      <w:r>
        <w:rPr>
          <w:rFonts w:ascii="仿宋_GB2312" w:hAnsi="Times New Roman" w:eastAsia="仿宋_GB2312"/>
          <w:sz w:val="32"/>
          <w:szCs w:val="32"/>
        </w:rPr>
        <w:t>不</w:t>
      </w:r>
      <w:r>
        <w:rPr>
          <w:rFonts w:hint="eastAsia" w:ascii="仿宋_GB2312" w:hAnsi="Times New Roman" w:eastAsia="仿宋_GB2312"/>
          <w:sz w:val="32"/>
          <w:szCs w:val="32"/>
        </w:rPr>
        <w:t>应有</w:t>
      </w:r>
      <w:r>
        <w:rPr>
          <w:rFonts w:ascii="仿宋_GB2312" w:hAnsi="Times New Roman" w:eastAsia="仿宋_GB2312"/>
          <w:sz w:val="32"/>
          <w:szCs w:val="32"/>
        </w:rPr>
        <w:t>居</w:t>
      </w:r>
      <w:r>
        <w:rPr>
          <w:rFonts w:hint="eastAsia" w:ascii="仿宋_GB2312" w:hAnsi="Times New Roman" w:eastAsia="仿宋_GB2312"/>
          <w:sz w:val="32"/>
          <w:szCs w:val="32"/>
        </w:rPr>
        <w:t>民居住。</w:t>
      </w:r>
    </w:p>
    <w:p>
      <w:pPr>
        <w:spacing w:line="560" w:lineRule="exact"/>
        <w:ind w:firstLine="632" w:firstLineChars="200"/>
        <w:outlineLvl w:val="1"/>
        <w:rPr>
          <w:rFonts w:ascii="仿宋_GB2312" w:eastAsia="仿宋_GB2312"/>
          <w:sz w:val="32"/>
          <w:szCs w:val="32"/>
        </w:rPr>
      </w:pPr>
      <w:r>
        <w:rPr>
          <w:rFonts w:hint="eastAsia" w:ascii="仿宋_GB2312" w:eastAsia="仿宋_GB2312"/>
          <w:sz w:val="32"/>
          <w:szCs w:val="32"/>
        </w:rPr>
        <w:t>3.</w:t>
      </w:r>
      <w:r>
        <w:rPr>
          <w:rFonts w:ascii="仿宋_GB2312" w:eastAsia="仿宋_GB2312"/>
          <w:sz w:val="32"/>
          <w:szCs w:val="32"/>
        </w:rPr>
        <w:t>2</w:t>
      </w:r>
      <w:r>
        <w:rPr>
          <w:rFonts w:hint="eastAsia" w:ascii="仿宋_GB2312" w:eastAsia="仿宋_GB2312"/>
          <w:sz w:val="32"/>
          <w:szCs w:val="32"/>
        </w:rPr>
        <w:t>化工园区应符合国家、区域和省市产业布局规划要求，在城乡总体规划确定的建设用地范围之内。</w:t>
      </w:r>
    </w:p>
    <w:p>
      <w:pPr>
        <w:spacing w:line="560" w:lineRule="exact"/>
        <w:ind w:firstLine="632" w:firstLineChars="200"/>
        <w:outlineLvl w:val="1"/>
        <w:rPr>
          <w:rFonts w:ascii="仿宋_GB2312" w:eastAsia="仿宋_GB2312"/>
          <w:sz w:val="32"/>
          <w:szCs w:val="32"/>
        </w:rPr>
      </w:pPr>
      <w:r>
        <w:rPr>
          <w:rFonts w:hint="eastAsia" w:ascii="仿宋_GB2312" w:eastAsia="仿宋_GB2312"/>
          <w:sz w:val="32"/>
          <w:szCs w:val="32"/>
        </w:rPr>
        <w:t>3.</w:t>
      </w:r>
      <w:r>
        <w:rPr>
          <w:rFonts w:ascii="仿宋_GB2312" w:eastAsia="仿宋_GB2312"/>
          <w:sz w:val="32"/>
          <w:szCs w:val="32"/>
        </w:rPr>
        <w:t>3</w:t>
      </w:r>
      <w:r>
        <w:rPr>
          <w:rFonts w:hint="eastAsia" w:ascii="仿宋_GB2312" w:eastAsia="仿宋_GB2312"/>
          <w:sz w:val="32"/>
          <w:szCs w:val="32"/>
        </w:rPr>
        <w:t>化工园区应在</w:t>
      </w:r>
      <w:r>
        <w:rPr>
          <w:rFonts w:ascii="仿宋_GB2312" w:eastAsia="仿宋_GB2312"/>
          <w:sz w:val="32"/>
          <w:szCs w:val="32"/>
        </w:rPr>
        <w:t>时效期</w:t>
      </w:r>
      <w:r>
        <w:rPr>
          <w:rFonts w:hint="eastAsia" w:ascii="仿宋_GB2312" w:eastAsia="仿宋_GB2312"/>
          <w:sz w:val="32"/>
          <w:szCs w:val="32"/>
        </w:rPr>
        <w:t>（5年）</w:t>
      </w:r>
      <w:r>
        <w:rPr>
          <w:rFonts w:ascii="仿宋_GB2312" w:eastAsia="仿宋_GB2312"/>
          <w:sz w:val="32"/>
          <w:szCs w:val="32"/>
        </w:rPr>
        <w:t>内</w:t>
      </w:r>
      <w:r>
        <w:rPr>
          <w:rFonts w:hint="eastAsia" w:ascii="仿宋_GB2312" w:eastAsia="仿宋_GB2312"/>
          <w:sz w:val="32"/>
          <w:szCs w:val="32"/>
        </w:rPr>
        <w:t>经过整体性安全风险评估，且满足国家安全风险基准要求。</w:t>
      </w:r>
    </w:p>
    <w:p>
      <w:pPr>
        <w:spacing w:line="560" w:lineRule="exact"/>
        <w:ind w:firstLine="632" w:firstLineChars="200"/>
        <w:outlineLvl w:val="1"/>
        <w:rPr>
          <w:rFonts w:ascii="仿宋_GB2312" w:eastAsia="仿宋_GB2312"/>
          <w:sz w:val="32"/>
          <w:szCs w:val="32"/>
        </w:rPr>
      </w:pPr>
      <w:r>
        <w:rPr>
          <w:rFonts w:ascii="仿宋_GB2312" w:eastAsia="仿宋_GB2312"/>
          <w:sz w:val="32"/>
          <w:szCs w:val="32"/>
        </w:rPr>
        <w:t>3.4</w:t>
      </w:r>
      <w:r>
        <w:rPr>
          <w:rFonts w:hint="eastAsia" w:ascii="仿宋_GB2312" w:eastAsia="仿宋_GB2312"/>
          <w:sz w:val="32"/>
          <w:szCs w:val="32"/>
        </w:rPr>
        <w:t>化工园区的设立应经省级及以上人民政府的批复认定。</w:t>
      </w:r>
    </w:p>
    <w:p>
      <w:pPr>
        <w:spacing w:line="560" w:lineRule="exact"/>
        <w:ind w:firstLine="632" w:firstLineChars="200"/>
        <w:outlineLvl w:val="0"/>
        <w:rPr>
          <w:rFonts w:ascii="仿宋_GB2312" w:eastAsia="仿宋_GB2312"/>
          <w:b/>
          <w:sz w:val="32"/>
          <w:szCs w:val="32"/>
        </w:rPr>
      </w:pPr>
      <w:r>
        <w:rPr>
          <w:rFonts w:ascii="仿宋_GB2312" w:eastAsia="仿宋_GB2312"/>
          <w:b/>
          <w:sz w:val="32"/>
          <w:szCs w:val="32"/>
        </w:rPr>
        <w:t xml:space="preserve">4 </w:t>
      </w:r>
      <w:r>
        <w:rPr>
          <w:rFonts w:hint="eastAsia" w:ascii="仿宋_GB2312" w:eastAsia="仿宋_GB2312"/>
          <w:b/>
          <w:sz w:val="32"/>
          <w:szCs w:val="32"/>
        </w:rPr>
        <w:t>选址</w:t>
      </w:r>
      <w:r>
        <w:rPr>
          <w:rFonts w:ascii="仿宋_GB2312" w:eastAsia="仿宋_GB2312"/>
          <w:b/>
          <w:sz w:val="32"/>
          <w:szCs w:val="32"/>
        </w:rPr>
        <w:t>及</w:t>
      </w:r>
      <w:r>
        <w:rPr>
          <w:rFonts w:hint="eastAsia" w:ascii="仿宋_GB2312" w:eastAsia="仿宋_GB2312"/>
          <w:b/>
          <w:sz w:val="32"/>
          <w:szCs w:val="32"/>
        </w:rPr>
        <w:t>规划</w:t>
      </w:r>
    </w:p>
    <w:p>
      <w:pPr>
        <w:spacing w:line="560" w:lineRule="exact"/>
        <w:ind w:firstLine="632" w:firstLineChars="200"/>
        <w:outlineLvl w:val="1"/>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.1化工园区所在地省级</w:t>
      </w:r>
      <w:r>
        <w:rPr>
          <w:rFonts w:ascii="仿宋_GB2312" w:eastAsia="仿宋_GB2312"/>
          <w:sz w:val="32"/>
          <w:szCs w:val="32"/>
        </w:rPr>
        <w:t>和</w:t>
      </w:r>
      <w:r>
        <w:rPr>
          <w:rFonts w:hint="eastAsia" w:ascii="仿宋_GB2312" w:eastAsia="仿宋_GB2312"/>
          <w:sz w:val="32"/>
          <w:szCs w:val="32"/>
        </w:rPr>
        <w:t>设</w:t>
      </w:r>
      <w:r>
        <w:rPr>
          <w:rFonts w:ascii="仿宋_GB2312" w:eastAsia="仿宋_GB2312"/>
          <w:sz w:val="32"/>
          <w:szCs w:val="32"/>
        </w:rPr>
        <w:t>区的市级</w:t>
      </w:r>
      <w:r>
        <w:rPr>
          <w:rFonts w:hint="eastAsia" w:ascii="仿宋_GB2312" w:eastAsia="仿宋_GB2312"/>
          <w:sz w:val="32"/>
          <w:szCs w:val="32"/>
        </w:rPr>
        <w:t>人民政府应</w:t>
      </w:r>
      <w:r>
        <w:rPr>
          <w:rFonts w:ascii="仿宋_GB2312" w:eastAsia="仿宋_GB2312"/>
          <w:sz w:val="32"/>
          <w:szCs w:val="32"/>
        </w:rPr>
        <w:t>编制</w:t>
      </w:r>
      <w:r>
        <w:rPr>
          <w:rFonts w:hint="eastAsia" w:ascii="仿宋_GB2312" w:eastAsia="仿宋_GB2312"/>
          <w:sz w:val="32"/>
          <w:szCs w:val="32"/>
        </w:rPr>
        <w:t>《化工行业发展规划》和《化工行业安全发展规划》，园区应位于其</w:t>
      </w:r>
      <w:r>
        <w:rPr>
          <w:rFonts w:ascii="仿宋_GB2312" w:eastAsia="仿宋_GB2312"/>
          <w:sz w:val="32"/>
          <w:szCs w:val="32"/>
        </w:rPr>
        <w:t>专</w:t>
      </w:r>
      <w:r>
        <w:rPr>
          <w:rFonts w:hint="eastAsia" w:ascii="仿宋_GB2312" w:eastAsia="仿宋_GB2312"/>
          <w:sz w:val="32"/>
          <w:szCs w:val="32"/>
        </w:rPr>
        <w:t>门</w:t>
      </w:r>
      <w:r>
        <w:rPr>
          <w:rFonts w:ascii="仿宋_GB2312" w:eastAsia="仿宋_GB2312"/>
          <w:sz w:val="32"/>
          <w:szCs w:val="32"/>
        </w:rPr>
        <w:t>用于危险化学品的生产、储存</w:t>
      </w:r>
      <w:r>
        <w:rPr>
          <w:rFonts w:hint="eastAsia" w:ascii="仿宋_GB2312" w:eastAsia="仿宋_GB2312"/>
          <w:sz w:val="32"/>
          <w:szCs w:val="32"/>
        </w:rPr>
        <w:t>规划</w:t>
      </w:r>
      <w:r>
        <w:rPr>
          <w:rFonts w:ascii="仿宋_GB2312" w:eastAsia="仿宋_GB2312"/>
          <w:sz w:val="32"/>
          <w:szCs w:val="32"/>
        </w:rPr>
        <w:t>区域</w:t>
      </w:r>
      <w:r>
        <w:rPr>
          <w:rFonts w:hint="eastAsia" w:ascii="仿宋_GB2312" w:eastAsia="仿宋_GB2312"/>
          <w:sz w:val="32"/>
          <w:szCs w:val="32"/>
        </w:rPr>
        <w:t>。</w:t>
      </w:r>
    </w:p>
    <w:p>
      <w:pPr>
        <w:spacing w:line="560" w:lineRule="exact"/>
        <w:ind w:firstLine="632" w:firstLineChars="200"/>
        <w:outlineLvl w:val="1"/>
        <w:rPr>
          <w:rFonts w:ascii="仿宋_GB2312" w:eastAsia="仿宋_GB2312"/>
          <w:sz w:val="32"/>
          <w:szCs w:val="32"/>
        </w:rPr>
      </w:pPr>
      <w:r>
        <w:rPr>
          <w:rFonts w:ascii="仿宋_GB2312" w:eastAsia="仿宋_GB2312"/>
          <w:sz w:val="32"/>
          <w:szCs w:val="32"/>
        </w:rPr>
        <w:t>4.2</w:t>
      </w:r>
      <w:r>
        <w:rPr>
          <w:rFonts w:hint="eastAsia" w:ascii="仿宋_GB2312" w:eastAsia="仿宋_GB2312"/>
          <w:sz w:val="32"/>
          <w:szCs w:val="32"/>
        </w:rPr>
        <w:t>化工园区选址应</w:t>
      </w:r>
      <w:r>
        <w:rPr>
          <w:rFonts w:ascii="仿宋_GB2312" w:eastAsia="仿宋_GB2312"/>
          <w:sz w:val="32"/>
          <w:szCs w:val="32"/>
        </w:rPr>
        <w:t>把安全放在首位，</w:t>
      </w:r>
      <w:r>
        <w:rPr>
          <w:rFonts w:hint="eastAsia" w:ascii="仿宋_GB2312" w:eastAsia="仿宋_GB2312"/>
          <w:sz w:val="32"/>
          <w:szCs w:val="32"/>
        </w:rPr>
        <w:t>化工园区应当进行选址安全评估，化工园区与城市建成区、人口密集区、重要设施、敏感目标之间保持足够的安全防护距离，留有适当的绿化缓冲带，将园区安全与周边公共安全的相互影响降至最低。</w:t>
      </w:r>
    </w:p>
    <w:p>
      <w:pPr>
        <w:spacing w:line="560" w:lineRule="exact"/>
        <w:ind w:firstLine="632" w:firstLineChars="200"/>
        <w:outlineLvl w:val="1"/>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3 化工园区应编制《园区总体规划》和《园区产业规划》，《园区总体规划》包含安全生产和综合防灾减灾规划章节</w:t>
      </w:r>
      <w:bookmarkStart w:id="0" w:name="OLE_LINK1"/>
      <w:r>
        <w:rPr>
          <w:rFonts w:hint="eastAsia" w:ascii="仿宋_GB2312" w:eastAsia="仿宋_GB2312"/>
          <w:sz w:val="32"/>
          <w:szCs w:val="32"/>
        </w:rPr>
        <w:t>。</w:t>
      </w:r>
    </w:p>
    <w:bookmarkEnd w:id="0"/>
    <w:p>
      <w:pPr>
        <w:spacing w:line="560" w:lineRule="exact"/>
        <w:ind w:firstLine="632" w:firstLineChars="200"/>
        <w:outlineLvl w:val="1"/>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4</w:t>
      </w:r>
      <w:r>
        <w:rPr>
          <w:rFonts w:ascii="仿宋_GB2312" w:eastAsia="仿宋_GB2312"/>
          <w:sz w:val="32"/>
          <w:szCs w:val="32"/>
        </w:rPr>
        <w:t xml:space="preserve"> </w:t>
      </w:r>
      <w:r>
        <w:rPr>
          <w:rFonts w:hint="eastAsia" w:ascii="仿宋_GB2312" w:eastAsia="仿宋_GB2312"/>
          <w:sz w:val="32"/>
          <w:szCs w:val="32"/>
        </w:rPr>
        <w:t>化工园区管理部门应委托省级及以上安全技术机构开展一次园区整体性安全风险评估，评估园区安全风险，提出消除、降低或控制安全风险的对策措施。</w:t>
      </w:r>
    </w:p>
    <w:p>
      <w:pPr>
        <w:spacing w:line="560" w:lineRule="exact"/>
        <w:ind w:firstLine="632" w:firstLineChars="200"/>
        <w:outlineLvl w:val="1"/>
        <w:rPr>
          <w:rFonts w:ascii="仿宋_GB2312" w:eastAsia="仿宋_GB2312"/>
          <w:sz w:val="32"/>
          <w:szCs w:val="32"/>
        </w:rPr>
      </w:pPr>
      <w:r>
        <w:rPr>
          <w:rFonts w:ascii="仿宋_GB2312" w:eastAsia="仿宋_GB2312"/>
          <w:sz w:val="32"/>
          <w:szCs w:val="32"/>
        </w:rPr>
        <w:t>4.</w:t>
      </w:r>
      <w:bookmarkStart w:id="1" w:name="OLE_LINK2"/>
      <w:r>
        <w:rPr>
          <w:rFonts w:hint="eastAsia" w:ascii="仿宋_GB2312" w:eastAsia="仿宋_GB2312"/>
          <w:sz w:val="32"/>
          <w:szCs w:val="32"/>
        </w:rPr>
        <w:t>5化工园区管理部门</w:t>
      </w:r>
      <w:bookmarkEnd w:id="1"/>
      <w:r>
        <w:rPr>
          <w:rFonts w:hint="eastAsia" w:ascii="仿宋_GB2312" w:eastAsia="仿宋_GB2312"/>
          <w:sz w:val="32"/>
          <w:szCs w:val="32"/>
        </w:rPr>
        <w:t>应依据园区整体性安全风险评估结果和相关法规标准的要求，划定化工园区周边土地规划安全控制线，并报</w:t>
      </w:r>
      <w:r>
        <w:rPr>
          <w:rFonts w:ascii="仿宋_GB2312" w:eastAsia="仿宋_GB2312"/>
          <w:sz w:val="32"/>
          <w:szCs w:val="32"/>
        </w:rPr>
        <w:t>送</w:t>
      </w:r>
      <w:r>
        <w:rPr>
          <w:rFonts w:hint="eastAsia" w:ascii="仿宋_GB2312" w:eastAsia="仿宋_GB2312"/>
          <w:sz w:val="32"/>
          <w:szCs w:val="32"/>
        </w:rPr>
        <w:t>化工园区所在地设</w:t>
      </w:r>
      <w:r>
        <w:rPr>
          <w:rFonts w:ascii="仿宋_GB2312" w:eastAsia="仿宋_GB2312"/>
          <w:sz w:val="32"/>
          <w:szCs w:val="32"/>
        </w:rPr>
        <w:t>区的市级和县级</w:t>
      </w:r>
      <w:r>
        <w:rPr>
          <w:rFonts w:hint="eastAsia" w:ascii="仿宋_GB2312" w:eastAsia="仿宋_GB2312"/>
          <w:sz w:val="32"/>
          <w:szCs w:val="32"/>
        </w:rPr>
        <w:t>地方人民政府规划主管部门、应急管理部门。</w:t>
      </w:r>
    </w:p>
    <w:p>
      <w:pPr>
        <w:spacing w:line="560" w:lineRule="exact"/>
        <w:ind w:firstLine="632" w:firstLineChars="200"/>
        <w:outlineLvl w:val="1"/>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6化工园区所在地设</w:t>
      </w:r>
      <w:r>
        <w:rPr>
          <w:rFonts w:ascii="仿宋_GB2312" w:eastAsia="仿宋_GB2312"/>
          <w:sz w:val="32"/>
          <w:szCs w:val="32"/>
        </w:rPr>
        <w:t>区的市级和县级</w:t>
      </w:r>
      <w:r>
        <w:rPr>
          <w:rFonts w:hint="eastAsia" w:ascii="仿宋_GB2312" w:eastAsia="仿宋_GB2312"/>
          <w:sz w:val="32"/>
          <w:szCs w:val="32"/>
        </w:rPr>
        <w:t>地方人民政府规划主管部门应严格控制化工园区周边土地开发利用，土地规划安全控制线范围内的开发建设项目应经过安全风险评估，满足安全风险控制要求。</w:t>
      </w:r>
    </w:p>
    <w:p>
      <w:pPr>
        <w:spacing w:line="560" w:lineRule="exact"/>
        <w:ind w:firstLine="632" w:firstLineChars="200"/>
        <w:outlineLvl w:val="0"/>
        <w:rPr>
          <w:rFonts w:ascii="仿宋_GB2312" w:eastAsia="仿宋_GB2312"/>
          <w:b/>
          <w:sz w:val="32"/>
          <w:szCs w:val="32"/>
        </w:rPr>
      </w:pPr>
      <w:r>
        <w:rPr>
          <w:rFonts w:hint="eastAsia" w:ascii="仿宋_GB2312" w:eastAsia="仿宋_GB2312"/>
          <w:b/>
          <w:sz w:val="32"/>
          <w:szCs w:val="32"/>
        </w:rPr>
        <w:t>5 布局</w:t>
      </w:r>
    </w:p>
    <w:p>
      <w:pPr>
        <w:spacing w:line="560" w:lineRule="exact"/>
        <w:ind w:firstLine="632" w:firstLineChars="200"/>
        <w:outlineLvl w:val="1"/>
        <w:rPr>
          <w:rFonts w:ascii="仿宋_GB2312" w:eastAsia="仿宋_GB2312"/>
          <w:sz w:val="32"/>
          <w:szCs w:val="32"/>
        </w:rPr>
      </w:pPr>
      <w:r>
        <w:rPr>
          <w:rFonts w:ascii="仿宋_GB2312" w:eastAsia="仿宋_GB2312"/>
          <w:sz w:val="32"/>
          <w:szCs w:val="32"/>
        </w:rPr>
        <w:t>5.1</w:t>
      </w:r>
      <w:r>
        <w:rPr>
          <w:rFonts w:hint="eastAsia" w:ascii="仿宋_GB2312" w:eastAsia="仿宋_GB2312"/>
          <w:sz w:val="32"/>
          <w:szCs w:val="32"/>
        </w:rPr>
        <w:t>化工园区应综合考虑主导风向、地势高低落差、企业装置之间的相互影响、产品类别、生产工艺、物料互供、公用设施保障、应急救援等因素，合理布置功能分区。劳动力密集型的非化工企业不得与化工企业混建。</w:t>
      </w:r>
    </w:p>
    <w:p>
      <w:pPr>
        <w:spacing w:line="560" w:lineRule="exact"/>
        <w:ind w:firstLine="632" w:firstLineChars="200"/>
        <w:outlineLvl w:val="1"/>
        <w:rPr>
          <w:rFonts w:ascii="仿宋_GB2312" w:eastAsia="仿宋_GB2312"/>
          <w:sz w:val="32"/>
          <w:szCs w:val="32"/>
        </w:rPr>
      </w:pPr>
      <w:r>
        <w:rPr>
          <w:rFonts w:hint="eastAsia" w:ascii="仿宋_GB2312" w:eastAsia="仿宋_GB2312"/>
          <w:sz w:val="32"/>
          <w:szCs w:val="32"/>
        </w:rPr>
        <w:t>5.2化工</w:t>
      </w:r>
      <w:r>
        <w:rPr>
          <w:rFonts w:ascii="仿宋_GB2312" w:eastAsia="仿宋_GB2312"/>
          <w:sz w:val="32"/>
          <w:szCs w:val="32"/>
        </w:rPr>
        <w:t>园区</w:t>
      </w:r>
      <w:r>
        <w:rPr>
          <w:rFonts w:hint="eastAsia" w:ascii="仿宋_GB2312" w:eastAsia="仿宋_GB2312"/>
          <w:sz w:val="32"/>
          <w:szCs w:val="32"/>
        </w:rPr>
        <w:t>行政办公、生活服务区等人员集中场所与生产功能区应相互分离，布置在园区边缘或园区外；消防站、应急响应中心、医疗救护站等重要设施的布置应有利于应急救援的快速响应需要，</w:t>
      </w:r>
      <w:r>
        <w:rPr>
          <w:rFonts w:ascii="仿宋_GB2312" w:eastAsia="仿宋_GB2312"/>
          <w:sz w:val="32"/>
          <w:szCs w:val="32"/>
        </w:rPr>
        <w:t>并</w:t>
      </w:r>
      <w:r>
        <w:rPr>
          <w:rFonts w:hint="eastAsia" w:ascii="仿宋_GB2312" w:eastAsia="仿宋_GB2312"/>
          <w:sz w:val="32"/>
          <w:szCs w:val="32"/>
        </w:rPr>
        <w:t>与涉及爆炸物、毒性气体、液化易燃气体的装置</w:t>
      </w:r>
      <w:r>
        <w:rPr>
          <w:rFonts w:ascii="仿宋_GB2312" w:eastAsia="仿宋_GB2312"/>
          <w:sz w:val="32"/>
          <w:szCs w:val="32"/>
        </w:rPr>
        <w:t>或设施保持足够的安全距离。</w:t>
      </w:r>
    </w:p>
    <w:p>
      <w:pPr>
        <w:spacing w:line="560" w:lineRule="exact"/>
        <w:ind w:firstLine="632" w:firstLineChars="200"/>
        <w:outlineLvl w:val="1"/>
        <w:rPr>
          <w:rFonts w:ascii="仿宋_GB2312" w:eastAsia="仿宋_GB2312"/>
          <w:sz w:val="32"/>
          <w:szCs w:val="32"/>
        </w:rPr>
      </w:pPr>
      <w:r>
        <w:rPr>
          <w:rFonts w:ascii="仿宋_GB2312" w:eastAsia="仿宋_GB2312"/>
          <w:sz w:val="32"/>
          <w:szCs w:val="32"/>
        </w:rPr>
        <w:t>5.3</w:t>
      </w:r>
      <w:r>
        <w:rPr>
          <w:rFonts w:hint="eastAsia" w:ascii="仿宋_GB2312" w:eastAsia="仿宋_GB2312"/>
          <w:sz w:val="32"/>
          <w:szCs w:val="32"/>
        </w:rPr>
        <w:t>化工</w:t>
      </w:r>
      <w:r>
        <w:rPr>
          <w:rFonts w:ascii="仿宋_GB2312" w:eastAsia="仿宋_GB2312"/>
          <w:sz w:val="32"/>
          <w:szCs w:val="32"/>
        </w:rPr>
        <w:t>园区</w:t>
      </w:r>
      <w:r>
        <w:rPr>
          <w:rFonts w:hint="eastAsia" w:ascii="仿宋_GB2312" w:eastAsia="仿宋_GB2312"/>
          <w:sz w:val="32"/>
          <w:szCs w:val="32"/>
        </w:rPr>
        <w:t>整体性安全风险评估应结合国家有关法律法规和标准规范要求，评估化工园区布局的安全性和合理性，对多米诺效应进行分析，提出安全风险防范措施，降低区域安全风险，避免多米诺效应发生。</w:t>
      </w:r>
    </w:p>
    <w:p>
      <w:pPr>
        <w:spacing w:line="560" w:lineRule="exact"/>
        <w:ind w:firstLine="632" w:firstLineChars="200"/>
        <w:outlineLvl w:val="1"/>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w:t>
      </w:r>
      <w:r>
        <w:rPr>
          <w:rFonts w:ascii="仿宋_GB2312" w:eastAsia="仿宋_GB2312"/>
          <w:sz w:val="32"/>
          <w:szCs w:val="32"/>
        </w:rPr>
        <w:t>4</w:t>
      </w:r>
      <w:r>
        <w:rPr>
          <w:rFonts w:hint="eastAsia" w:ascii="仿宋_GB2312" w:eastAsia="仿宋_GB2312"/>
          <w:sz w:val="32"/>
          <w:szCs w:val="32"/>
        </w:rPr>
        <w:t>在安全条件审查时，危险化学品建设项目单位提交的安全评价报告应对危险化学品建设项目与周边企业的相互影响进行多米诺效应分析，优化平面布局。</w:t>
      </w:r>
    </w:p>
    <w:p>
      <w:pPr>
        <w:spacing w:line="560" w:lineRule="exact"/>
        <w:ind w:firstLine="632" w:firstLineChars="200"/>
        <w:outlineLvl w:val="0"/>
        <w:rPr>
          <w:rFonts w:ascii="仿宋_GB2312" w:eastAsia="仿宋_GB2312"/>
          <w:b/>
          <w:sz w:val="32"/>
          <w:szCs w:val="32"/>
        </w:rPr>
      </w:pPr>
      <w:r>
        <w:rPr>
          <w:rFonts w:ascii="仿宋_GB2312" w:eastAsia="仿宋_GB2312"/>
          <w:b/>
          <w:sz w:val="32"/>
          <w:szCs w:val="32"/>
        </w:rPr>
        <w:t xml:space="preserve">6 </w:t>
      </w:r>
      <w:r>
        <w:rPr>
          <w:rFonts w:hint="eastAsia" w:ascii="仿宋_GB2312" w:eastAsia="仿宋_GB2312"/>
          <w:b/>
          <w:sz w:val="32"/>
          <w:szCs w:val="32"/>
        </w:rPr>
        <w:t>准入和退出</w:t>
      </w:r>
    </w:p>
    <w:p>
      <w:pPr>
        <w:spacing w:line="560" w:lineRule="exact"/>
        <w:ind w:firstLine="632" w:firstLineChars="200"/>
        <w:outlineLvl w:val="1"/>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.1化工园区应当严格根据《园区总体规划》和《园区产业规划》，制定适应区域特点、地方实际的《园区产业准入目录》和“禁限控”目录。</w:t>
      </w:r>
    </w:p>
    <w:p>
      <w:pPr>
        <w:ind w:firstLine="632" w:firstLineChars="200"/>
        <w:outlineLvl w:val="1"/>
        <w:rPr>
          <w:rFonts w:hint="eastAsia" w:ascii="仿宋_GB2312" w:eastAsia="仿宋_GB2312"/>
          <w:sz w:val="32"/>
          <w:szCs w:val="32"/>
        </w:rPr>
      </w:pPr>
      <w:r>
        <w:rPr>
          <w:rFonts w:ascii="仿宋_GB2312" w:eastAsia="仿宋_GB2312"/>
          <w:sz w:val="32"/>
          <w:szCs w:val="32"/>
        </w:rPr>
        <w:t>6</w:t>
      </w:r>
      <w:r>
        <w:rPr>
          <w:rFonts w:hint="eastAsia" w:ascii="仿宋_GB2312" w:eastAsia="仿宋_GB2312"/>
          <w:sz w:val="32"/>
          <w:szCs w:val="32"/>
        </w:rPr>
        <w:t>.</w:t>
      </w:r>
      <w:r>
        <w:rPr>
          <w:rFonts w:ascii="仿宋_GB2312" w:eastAsia="仿宋_GB2312"/>
          <w:sz w:val="32"/>
          <w:szCs w:val="32"/>
        </w:rPr>
        <w:t>2</w:t>
      </w:r>
      <w:r>
        <w:rPr>
          <w:rFonts w:hint="eastAsia" w:ascii="仿宋_GB2312" w:eastAsia="仿宋_GB2312"/>
          <w:sz w:val="32"/>
          <w:szCs w:val="32"/>
        </w:rPr>
        <w:t>化工园区的项目准入应有利于形成相对完整的“上中下游”产业链和主导产业，实现园区内资源的有效配置和充分利用。</w:t>
      </w:r>
    </w:p>
    <w:p>
      <w:pPr>
        <w:ind w:firstLine="632" w:firstLineChars="200"/>
        <w:outlineLvl w:val="1"/>
        <w:rPr>
          <w:rFonts w:ascii="仿宋_GB2312" w:eastAsia="仿宋_GB2312"/>
          <w:sz w:val="32"/>
          <w:szCs w:val="32"/>
        </w:rPr>
      </w:pPr>
      <w:r>
        <w:rPr>
          <w:rFonts w:hint="eastAsia" w:ascii="仿宋_GB2312" w:eastAsia="仿宋_GB2312"/>
          <w:sz w:val="32"/>
          <w:szCs w:val="32"/>
        </w:rPr>
        <w:t>6.3园区内危险化学品建设项目应由具有相关工程设计资质的单位设计；涉及“两重点一重大”装置的专业管理人员必须具有大专以上学历、操作人员必须具有高中以上文化程度，企业特种作业人员应持证上岗。</w:t>
      </w:r>
    </w:p>
    <w:p>
      <w:pPr>
        <w:ind w:firstLine="632" w:firstLineChars="200"/>
        <w:outlineLvl w:val="1"/>
        <w:rPr>
          <w:rFonts w:ascii="仿宋_GB2312" w:eastAsia="仿宋_GB2312"/>
          <w:sz w:val="32"/>
          <w:szCs w:val="32"/>
        </w:rPr>
      </w:pPr>
      <w:r>
        <w:rPr>
          <w:rFonts w:hint="eastAsia" w:ascii="仿宋_GB2312" w:eastAsia="仿宋_GB2312"/>
          <w:sz w:val="32"/>
          <w:szCs w:val="32"/>
        </w:rPr>
        <w:t>6.4凡存在重大安全隐患、生产工艺技术落后、不具备安全生产条件且难以治理的或整改后仍不能达到要求的企业，应予以关闭、退出园区。</w:t>
      </w:r>
    </w:p>
    <w:p>
      <w:pPr>
        <w:spacing w:line="560" w:lineRule="exact"/>
        <w:ind w:firstLine="632" w:firstLineChars="200"/>
        <w:outlineLvl w:val="0"/>
        <w:rPr>
          <w:rFonts w:ascii="仿宋_GB2312" w:eastAsia="仿宋_GB2312"/>
          <w:b/>
          <w:sz w:val="32"/>
          <w:szCs w:val="32"/>
        </w:rPr>
      </w:pPr>
      <w:r>
        <w:rPr>
          <w:rFonts w:ascii="仿宋_GB2312" w:eastAsia="仿宋_GB2312"/>
          <w:b/>
          <w:sz w:val="32"/>
          <w:szCs w:val="32"/>
        </w:rPr>
        <w:t>7 配套功能</w:t>
      </w:r>
      <w:r>
        <w:rPr>
          <w:rFonts w:hint="eastAsia" w:ascii="仿宋_GB2312" w:eastAsia="仿宋_GB2312"/>
          <w:b/>
          <w:sz w:val="32"/>
          <w:szCs w:val="32"/>
        </w:rPr>
        <w:t>设施</w:t>
      </w:r>
    </w:p>
    <w:p>
      <w:pPr>
        <w:ind w:firstLine="632" w:firstLineChars="200"/>
        <w:outlineLvl w:val="1"/>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.1 化工园区供水水源应充足、可靠，建设统一集中的供水设施和管网，满足企业和园区配套设施生产、生活、消防用水的需求。</w:t>
      </w:r>
    </w:p>
    <w:p>
      <w:pPr>
        <w:ind w:firstLine="632" w:firstLineChars="200"/>
        <w:outlineLvl w:val="1"/>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.2 化工园区应能保障双电源供电。供电应满足园区各企业和园区配套设施生产、生活和应急用电需求，电源可靠。</w:t>
      </w:r>
    </w:p>
    <w:p>
      <w:pPr>
        <w:ind w:firstLine="632" w:firstLineChars="200"/>
        <w:outlineLvl w:val="1"/>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.3 化工园区公用管廊应满足《化工园区公共管廊管理规程》（GB/T 36762）要求。</w:t>
      </w:r>
    </w:p>
    <w:p>
      <w:pPr>
        <w:ind w:firstLine="632" w:firstLineChars="200"/>
        <w:outlineLvl w:val="1"/>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4化工园区应运用物联网等先进技术对危险化学品运输车辆进出进行实时监控，实行专用道路、专用车道和限时限速行驶等措施，由化工园区实施统一管理，严格管控运输安全风险。有危险化学品车辆聚集较大安全风险的化工园区应建设危险化学品车辆专用停车场。</w:t>
      </w:r>
    </w:p>
    <w:p>
      <w:pPr>
        <w:ind w:firstLine="632" w:firstLineChars="200"/>
        <w:outlineLvl w:val="1"/>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.5 化工园区应按照“分类控制、分级管理、分步实施”要求，结合产业结构、产业链特点、安全风险类型等实际情况，实行封闭化管理。原则上要按照核心控制区、关键控制区、一般控制区的防护等级，通过采取不同的封闭监控管理手段，实行封闭化管理。化工园区应建立完善的门禁系统和视频监控系统，对易燃易爆、有毒有害化学品和危险废物等物料、人员、车辆进出实施全过程监管。</w:t>
      </w:r>
    </w:p>
    <w:p>
      <w:pPr>
        <w:ind w:firstLine="632" w:firstLineChars="200"/>
        <w:outlineLvl w:val="1"/>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.6 化工园区应按照国家标准规范要求，配套建设固体废物特别是危险废物集中处置设施，并实行专业化运营管理，对危险废物种类、产生量、流向、贮存、处置、转移等全链条的风险实施监督和管理。</w:t>
      </w:r>
    </w:p>
    <w:p>
      <w:pPr>
        <w:ind w:firstLine="632" w:firstLineChars="200"/>
        <w:outlineLvl w:val="1"/>
        <w:rPr>
          <w:rFonts w:ascii="仿宋" w:hAnsi="仿宋" w:eastAsia="仿宋"/>
          <w:sz w:val="32"/>
          <w:szCs w:val="32"/>
        </w:rPr>
      </w:pPr>
      <w:r>
        <w:rPr>
          <w:rFonts w:ascii="仿宋" w:hAnsi="仿宋" w:eastAsia="仿宋"/>
          <w:sz w:val="32"/>
          <w:szCs w:val="32"/>
        </w:rPr>
        <w:t>7</w:t>
      </w:r>
      <w:r>
        <w:rPr>
          <w:rFonts w:hint="eastAsia" w:ascii="仿宋" w:hAnsi="仿宋" w:eastAsia="仿宋"/>
          <w:sz w:val="32"/>
          <w:szCs w:val="32"/>
        </w:rPr>
        <w:t>.7</w:t>
      </w:r>
      <w:r>
        <w:rPr>
          <w:rFonts w:ascii="仿宋" w:hAnsi="仿宋" w:eastAsia="仿宋"/>
          <w:sz w:val="32"/>
          <w:szCs w:val="32"/>
        </w:rPr>
        <w:t xml:space="preserve"> </w:t>
      </w:r>
      <w:r>
        <w:rPr>
          <w:rFonts w:hint="eastAsia" w:ascii="仿宋_GB2312" w:eastAsia="仿宋_GB2312"/>
          <w:sz w:val="32"/>
          <w:szCs w:val="32"/>
        </w:rPr>
        <w:t>化工园区应合理分析和估算安全事故废水量，根据需求规划建设安全事故废水应急设施，确保安全事故发生时能满足废水处置要求。</w:t>
      </w:r>
    </w:p>
    <w:p>
      <w:pPr>
        <w:spacing w:line="560" w:lineRule="exact"/>
        <w:ind w:firstLine="632" w:firstLineChars="200"/>
        <w:outlineLvl w:val="0"/>
        <w:rPr>
          <w:rFonts w:ascii="仿宋_GB2312" w:eastAsia="仿宋_GB2312"/>
          <w:b/>
          <w:sz w:val="32"/>
          <w:szCs w:val="32"/>
        </w:rPr>
      </w:pPr>
      <w:r>
        <w:rPr>
          <w:rFonts w:ascii="仿宋_GB2312" w:eastAsia="仿宋_GB2312"/>
          <w:b/>
          <w:sz w:val="32"/>
          <w:szCs w:val="32"/>
        </w:rPr>
        <w:t xml:space="preserve">8 </w:t>
      </w:r>
      <w:r>
        <w:rPr>
          <w:rFonts w:hint="eastAsia" w:ascii="仿宋_GB2312" w:eastAsia="仿宋_GB2312"/>
          <w:b/>
          <w:sz w:val="32"/>
          <w:szCs w:val="32"/>
        </w:rPr>
        <w:t>一体化安全管理及应急救援</w:t>
      </w:r>
    </w:p>
    <w:p>
      <w:pPr>
        <w:ind w:firstLine="632" w:firstLineChars="200"/>
        <w:outlineLvl w:val="1"/>
        <w:rPr>
          <w:rFonts w:ascii="仿宋" w:hAnsi="仿宋" w:eastAsia="仿宋"/>
          <w:sz w:val="32"/>
          <w:szCs w:val="32"/>
        </w:rPr>
      </w:pPr>
      <w:r>
        <w:rPr>
          <w:rFonts w:ascii="仿宋_GB2312" w:eastAsia="仿宋_GB2312"/>
          <w:sz w:val="32"/>
          <w:szCs w:val="32"/>
        </w:rPr>
        <w:t>8</w:t>
      </w:r>
      <w:r>
        <w:rPr>
          <w:rFonts w:hint="eastAsia" w:ascii="仿宋_GB2312" w:eastAsia="仿宋_GB2312"/>
          <w:sz w:val="32"/>
          <w:szCs w:val="32"/>
        </w:rPr>
        <w:t>.1</w:t>
      </w:r>
      <w:r>
        <w:rPr>
          <w:rFonts w:hint="eastAsia" w:ascii="仿宋" w:hAnsi="仿宋" w:eastAsia="仿宋"/>
          <w:sz w:val="32"/>
          <w:szCs w:val="32"/>
        </w:rPr>
        <w:t xml:space="preserve"> </w:t>
      </w:r>
      <w:r>
        <w:rPr>
          <w:rFonts w:hint="eastAsia" w:ascii="仿宋_GB2312" w:eastAsia="仿宋_GB2312"/>
          <w:sz w:val="32"/>
          <w:szCs w:val="32"/>
        </w:rPr>
        <w:t>化工园区所在地方人民政府应明确园区安全生产和应急管理机构，实施安全生产与应急一体化管理，建立健全行业监管、协同执法和应急救援的联动机制，协调解决园区内企业之间的安全生产重大问题，统筹指挥园区的应急救援工作，指导企业落实安全生产主体责任，全面加强安全生产和应急管理工作。</w:t>
      </w:r>
    </w:p>
    <w:p>
      <w:pPr>
        <w:ind w:firstLine="632" w:firstLineChars="200"/>
        <w:outlineLvl w:val="1"/>
        <w:rPr>
          <w:rFonts w:ascii="仿宋" w:hAnsi="仿宋" w:eastAsia="仿宋"/>
          <w:sz w:val="32"/>
          <w:szCs w:val="32"/>
        </w:rPr>
      </w:pPr>
      <w:r>
        <w:rPr>
          <w:rFonts w:ascii="仿宋_GB2312" w:eastAsia="仿宋_GB2312"/>
          <w:sz w:val="32"/>
          <w:szCs w:val="32"/>
        </w:rPr>
        <w:t>8.2</w:t>
      </w:r>
      <w:r>
        <w:rPr>
          <w:rFonts w:hint="eastAsia" w:ascii="仿宋" w:hAnsi="仿宋" w:eastAsia="仿宋"/>
          <w:sz w:val="32"/>
          <w:szCs w:val="32"/>
        </w:rPr>
        <w:t xml:space="preserve"> </w:t>
      </w:r>
      <w:r>
        <w:rPr>
          <w:rFonts w:hint="eastAsia" w:ascii="仿宋_GB2312" w:eastAsia="仿宋_GB2312"/>
          <w:sz w:val="32"/>
          <w:szCs w:val="32"/>
        </w:rPr>
        <w:t>化工园区应根据企业数量、产业特点、整体安全风险状况，配备满足安全监管需要的人员，其中具有相关化工专业学历或化工安全生产实践经历的人员或注册安全工程师的人员数量不低于安全监管人员的75%。</w:t>
      </w:r>
    </w:p>
    <w:p>
      <w:pPr>
        <w:ind w:firstLine="632" w:firstLineChars="200"/>
        <w:outlineLvl w:val="1"/>
        <w:rPr>
          <w:rFonts w:ascii="仿宋_GB2312" w:eastAsia="仿宋_GB2312"/>
          <w:sz w:val="32"/>
          <w:szCs w:val="32"/>
        </w:rPr>
      </w:pPr>
      <w:r>
        <w:rPr>
          <w:rFonts w:hint="eastAsia" w:ascii="仿宋_GB2312" w:eastAsia="仿宋_GB2312"/>
          <w:sz w:val="32"/>
          <w:szCs w:val="32"/>
        </w:rPr>
        <w:t>8</w:t>
      </w:r>
      <w:r>
        <w:rPr>
          <w:rFonts w:ascii="仿宋_GB2312" w:eastAsia="仿宋_GB2312"/>
          <w:sz w:val="32"/>
          <w:szCs w:val="32"/>
        </w:rPr>
        <w:t>.3</w:t>
      </w:r>
      <w:r>
        <w:rPr>
          <w:rFonts w:hint="eastAsia" w:ascii="仿宋_GB2312" w:eastAsia="仿宋_GB2312"/>
          <w:sz w:val="32"/>
          <w:szCs w:val="32"/>
        </w:rPr>
        <w:t xml:space="preserve"> 化工园区应按照国家有关要求，制定风险风险分级管控制度，对园区内企业进行安全风险分级，加强对红色、橙色安全风险的分析、评估、预警。</w:t>
      </w:r>
    </w:p>
    <w:p>
      <w:pPr>
        <w:ind w:firstLine="632" w:firstLineChars="200"/>
        <w:outlineLvl w:val="1"/>
        <w:rPr>
          <w:rFonts w:ascii="仿宋_GB2312" w:eastAsia="仿宋_GB2312"/>
          <w:sz w:val="32"/>
          <w:szCs w:val="32"/>
        </w:rPr>
      </w:pPr>
      <w:r>
        <w:rPr>
          <w:rFonts w:ascii="仿宋_GB2312" w:eastAsia="仿宋_GB2312"/>
          <w:sz w:val="32"/>
          <w:szCs w:val="32"/>
        </w:rPr>
        <w:t>8</w:t>
      </w:r>
      <w:r>
        <w:rPr>
          <w:rFonts w:hint="eastAsia" w:ascii="仿宋_GB2312" w:eastAsia="仿宋_GB2312"/>
          <w:sz w:val="32"/>
          <w:szCs w:val="32"/>
        </w:rPr>
        <w:t>.4</w:t>
      </w:r>
      <w:r>
        <w:rPr>
          <w:rFonts w:ascii="仿宋_GB2312" w:eastAsia="仿宋_GB2312"/>
          <w:sz w:val="32"/>
          <w:szCs w:val="32"/>
        </w:rPr>
        <w:t xml:space="preserve"> </w:t>
      </w:r>
      <w:r>
        <w:rPr>
          <w:rFonts w:hint="eastAsia" w:ascii="仿宋_GB2312" w:eastAsia="仿宋_GB2312"/>
          <w:sz w:val="32"/>
          <w:szCs w:val="32"/>
        </w:rPr>
        <w:t>化工园区应根据国家有关要求，建设化工园区安全监管和应急救援信息平台，实现危险化学品重大危险源在线监测监控，企业安全生产风险动态预警和分级推送，对园区内重点企业、重点场所、基础设施进行在线实时管控。</w:t>
      </w:r>
    </w:p>
    <w:p>
      <w:pPr>
        <w:ind w:firstLine="632" w:firstLineChars="200"/>
        <w:outlineLvl w:val="1"/>
        <w:rPr>
          <w:rFonts w:ascii="仿宋" w:hAnsi="仿宋" w:eastAsia="仿宋"/>
          <w:sz w:val="32"/>
          <w:szCs w:val="32"/>
        </w:rPr>
      </w:pPr>
      <w:r>
        <w:rPr>
          <w:rFonts w:ascii="仿宋_GB2312" w:eastAsia="仿宋_GB2312"/>
          <w:sz w:val="32"/>
          <w:szCs w:val="32"/>
        </w:rPr>
        <w:t>8</w:t>
      </w:r>
      <w:r>
        <w:rPr>
          <w:rFonts w:hint="eastAsia" w:ascii="仿宋_GB2312" w:eastAsia="仿宋_GB2312"/>
          <w:sz w:val="32"/>
          <w:szCs w:val="32"/>
        </w:rPr>
        <w:t>.5</w:t>
      </w:r>
      <w:r>
        <w:rPr>
          <w:rFonts w:ascii="仿宋_GB2312" w:eastAsia="仿宋_GB2312"/>
          <w:sz w:val="32"/>
          <w:szCs w:val="32"/>
        </w:rPr>
        <w:t xml:space="preserve"> </w:t>
      </w:r>
      <w:r>
        <w:rPr>
          <w:rFonts w:hint="eastAsia" w:ascii="仿宋_GB2312" w:eastAsia="仿宋_GB2312"/>
          <w:sz w:val="32"/>
          <w:szCs w:val="32"/>
        </w:rPr>
        <w:t>化工园区应制定总体应急预案及专项预案，并至少每年组织1次安全事故应急救援演练。</w:t>
      </w:r>
    </w:p>
    <w:p>
      <w:pPr>
        <w:ind w:firstLine="632" w:firstLineChars="200"/>
        <w:outlineLvl w:val="1"/>
        <w:rPr>
          <w:rFonts w:ascii="仿宋" w:hAnsi="仿宋" w:eastAsia="仿宋"/>
          <w:sz w:val="32"/>
          <w:szCs w:val="32"/>
        </w:rPr>
      </w:pPr>
      <w:r>
        <w:rPr>
          <w:rFonts w:ascii="仿宋_GB2312" w:eastAsia="仿宋_GB2312"/>
          <w:sz w:val="32"/>
          <w:szCs w:val="32"/>
        </w:rPr>
        <w:t>8</w:t>
      </w:r>
      <w:r>
        <w:rPr>
          <w:rFonts w:hint="eastAsia" w:ascii="仿宋_GB2312" w:eastAsia="仿宋_GB2312"/>
          <w:sz w:val="32"/>
          <w:szCs w:val="32"/>
        </w:rPr>
        <w:t>.6</w:t>
      </w:r>
      <w:r>
        <w:rPr>
          <w:rFonts w:hint="eastAsia" w:ascii="仿宋" w:hAnsi="仿宋" w:eastAsia="仿宋"/>
          <w:sz w:val="32"/>
          <w:szCs w:val="32"/>
        </w:rPr>
        <w:t xml:space="preserve"> </w:t>
      </w:r>
      <w:r>
        <w:rPr>
          <w:rFonts w:hint="eastAsia" w:ascii="仿宋_GB2312" w:eastAsia="仿宋_GB2312"/>
          <w:sz w:val="32"/>
          <w:szCs w:val="32"/>
        </w:rPr>
        <w:t>化工园区消防站应按照不低于《城市消防站建设标准》中特勤消防站的标准进行设置。化工园区应建设有危险化学品专业应急救援队伍；根据自身安全风险类型和实际需求，配套建设医疗急救场所和气防站。</w:t>
      </w:r>
    </w:p>
    <w:p>
      <w:pPr>
        <w:ind w:firstLine="632" w:firstLineChars="200"/>
        <w:outlineLvl w:val="1"/>
        <w:rPr>
          <w:rFonts w:ascii="宋体" w:hAnsi="宋体" w:cs="宋体"/>
          <w:kern w:val="0"/>
          <w:sz w:val="20"/>
          <w:szCs w:val="20"/>
        </w:rPr>
      </w:pPr>
      <w:r>
        <w:rPr>
          <w:rFonts w:ascii="仿宋_GB2312" w:eastAsia="仿宋_GB2312"/>
          <w:sz w:val="32"/>
          <w:szCs w:val="32"/>
        </w:rPr>
        <w:t>8</w:t>
      </w:r>
      <w:r>
        <w:rPr>
          <w:rFonts w:hint="eastAsia" w:ascii="仿宋_GB2312" w:eastAsia="仿宋_GB2312"/>
          <w:sz w:val="32"/>
          <w:szCs w:val="32"/>
        </w:rPr>
        <w:t>.7</w:t>
      </w:r>
      <w:r>
        <w:rPr>
          <w:rFonts w:ascii="仿宋_GB2312" w:eastAsia="仿宋_GB2312"/>
          <w:sz w:val="32"/>
          <w:szCs w:val="32"/>
        </w:rPr>
        <w:t xml:space="preserve"> </w:t>
      </w:r>
      <w:r>
        <w:rPr>
          <w:rFonts w:hint="eastAsia" w:ascii="仿宋_GB2312" w:eastAsia="仿宋_GB2312"/>
          <w:sz w:val="32"/>
          <w:szCs w:val="32"/>
        </w:rPr>
        <w:t>化工园区应建立健全园区内企业及公共应急物资储备保障制度，统筹规划配备充足的应急物资装备。</w:t>
      </w:r>
    </w:p>
    <w:p>
      <w:pPr>
        <w:outlineLvl w:val="1"/>
        <w:rPr>
          <w:rFonts w:ascii="仿宋" w:hAnsi="仿宋" w:eastAsia="仿宋"/>
          <w:sz w:val="32"/>
          <w:szCs w:val="32"/>
        </w:rPr>
      </w:pPr>
    </w:p>
    <w:p>
      <w:pPr>
        <w:ind w:firstLine="632" w:firstLineChars="200"/>
        <w:outlineLvl w:val="1"/>
        <w:rPr>
          <w:rFonts w:ascii="仿宋" w:hAnsi="仿宋" w:eastAsia="仿宋"/>
          <w:sz w:val="32"/>
          <w:szCs w:val="32"/>
        </w:rPr>
      </w:pPr>
    </w:p>
    <w:p>
      <w:pPr>
        <w:ind w:firstLine="632" w:firstLineChars="200"/>
        <w:outlineLvl w:val="1"/>
        <w:rPr>
          <w:rFonts w:ascii="仿宋" w:hAnsi="仿宋" w:eastAsia="仿宋"/>
          <w:sz w:val="32"/>
          <w:szCs w:val="32"/>
        </w:rPr>
        <w:sectPr>
          <w:footerReference r:id="rId3" w:type="default"/>
          <w:pgSz w:w="11906" w:h="16838"/>
          <w:pgMar w:top="2098" w:right="1474" w:bottom="1985" w:left="1588" w:header="851" w:footer="992" w:gutter="0"/>
          <w:cols w:space="720" w:num="1"/>
          <w:docGrid w:type="linesAndChars" w:linePitch="579" w:charSpace="-849"/>
        </w:sectPr>
      </w:pPr>
    </w:p>
    <w:p>
      <w:pPr>
        <w:pStyle w:val="2"/>
      </w:pPr>
      <w:r>
        <w:rPr>
          <w:rFonts w:hint="eastAsia"/>
        </w:rPr>
        <w:t>附件</w:t>
      </w:r>
    </w:p>
    <w:p>
      <w:pPr>
        <w:spacing w:after="289" w:afterLines="50" w:line="500" w:lineRule="exact"/>
        <w:jc w:val="center"/>
        <w:rPr>
          <w:rFonts w:ascii="华文中宋" w:hAnsi="华文中宋" w:eastAsia="华文中宋"/>
          <w:b/>
          <w:sz w:val="44"/>
          <w:szCs w:val="44"/>
        </w:rPr>
      </w:pPr>
      <w:r>
        <w:rPr>
          <w:rFonts w:hint="eastAsia" w:ascii="华文中宋" w:hAnsi="华文中宋" w:eastAsia="华文中宋"/>
          <w:b/>
          <w:sz w:val="44"/>
          <w:szCs w:val="44"/>
        </w:rPr>
        <w:t>化工园区</w:t>
      </w:r>
      <w:r>
        <w:rPr>
          <w:rFonts w:ascii="华文中宋" w:hAnsi="华文中宋" w:eastAsia="华文中宋"/>
          <w:b/>
          <w:sz w:val="44"/>
          <w:szCs w:val="44"/>
        </w:rPr>
        <w:t>安全风险排查治理</w:t>
      </w:r>
      <w:r>
        <w:rPr>
          <w:rFonts w:hint="eastAsia" w:ascii="华文中宋" w:hAnsi="华文中宋" w:eastAsia="华文中宋"/>
          <w:b/>
          <w:sz w:val="44"/>
          <w:szCs w:val="44"/>
        </w:rPr>
        <w:t>检查表</w:t>
      </w:r>
    </w:p>
    <w:tbl>
      <w:tblPr>
        <w:tblStyle w:val="12"/>
        <w:tblW w:w="1187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559"/>
        <w:gridCol w:w="3828"/>
        <w:gridCol w:w="4520"/>
        <w:gridCol w:w="1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817" w:type="dxa"/>
            <w:noWrap w:val="0"/>
            <w:vAlign w:val="center"/>
          </w:tcPr>
          <w:p>
            <w:pPr>
              <w:snapToGrid w:val="0"/>
              <w:spacing w:line="360" w:lineRule="exact"/>
              <w:jc w:val="center"/>
              <w:rPr>
                <w:rFonts w:ascii="仿宋_GB2312" w:eastAsia="仿宋_GB2312"/>
                <w:b/>
                <w:color w:val="000000"/>
                <w:sz w:val="24"/>
                <w:szCs w:val="24"/>
              </w:rPr>
            </w:pPr>
            <w:r>
              <w:rPr>
                <w:rFonts w:hint="eastAsia" w:ascii="仿宋_GB2312" w:eastAsia="仿宋_GB2312"/>
                <w:b/>
                <w:color w:val="000000"/>
                <w:sz w:val="24"/>
                <w:szCs w:val="24"/>
              </w:rPr>
              <w:t>序号</w:t>
            </w:r>
          </w:p>
        </w:tc>
        <w:tc>
          <w:tcPr>
            <w:tcW w:w="1559" w:type="dxa"/>
            <w:noWrap w:val="0"/>
            <w:vAlign w:val="center"/>
          </w:tcPr>
          <w:p>
            <w:pPr>
              <w:snapToGrid w:val="0"/>
              <w:spacing w:line="360" w:lineRule="exact"/>
              <w:jc w:val="center"/>
              <w:rPr>
                <w:rFonts w:ascii="仿宋_GB2312" w:eastAsia="仿宋_GB2312"/>
                <w:b/>
                <w:color w:val="000000"/>
                <w:sz w:val="24"/>
                <w:szCs w:val="24"/>
              </w:rPr>
            </w:pPr>
            <w:r>
              <w:rPr>
                <w:rFonts w:hint="eastAsia" w:ascii="仿宋_GB2312" w:eastAsia="仿宋_GB2312"/>
                <w:b/>
                <w:color w:val="000000"/>
                <w:sz w:val="24"/>
                <w:szCs w:val="24"/>
              </w:rPr>
              <w:t>要素</w:t>
            </w:r>
          </w:p>
        </w:tc>
        <w:tc>
          <w:tcPr>
            <w:tcW w:w="3828" w:type="dxa"/>
            <w:noWrap w:val="0"/>
            <w:vAlign w:val="center"/>
          </w:tcPr>
          <w:p>
            <w:pPr>
              <w:snapToGrid w:val="0"/>
              <w:spacing w:line="360" w:lineRule="exact"/>
              <w:jc w:val="center"/>
              <w:rPr>
                <w:rFonts w:ascii="仿宋_GB2312" w:eastAsia="仿宋_GB2312"/>
                <w:b/>
                <w:color w:val="000000"/>
                <w:sz w:val="24"/>
                <w:szCs w:val="24"/>
              </w:rPr>
            </w:pPr>
            <w:r>
              <w:rPr>
                <w:rFonts w:hint="eastAsia" w:ascii="仿宋_GB2312" w:eastAsia="仿宋_GB2312"/>
                <w:b/>
                <w:color w:val="000000"/>
                <w:sz w:val="24"/>
                <w:szCs w:val="24"/>
              </w:rPr>
              <w:t>排查内容</w:t>
            </w:r>
          </w:p>
        </w:tc>
        <w:tc>
          <w:tcPr>
            <w:tcW w:w="4520" w:type="dxa"/>
            <w:noWrap w:val="0"/>
            <w:vAlign w:val="top"/>
          </w:tcPr>
          <w:p>
            <w:pPr>
              <w:snapToGrid w:val="0"/>
              <w:spacing w:line="360" w:lineRule="exact"/>
              <w:jc w:val="center"/>
              <w:rPr>
                <w:rFonts w:ascii="仿宋_GB2312" w:eastAsia="仿宋_GB2312"/>
                <w:b/>
                <w:color w:val="000000"/>
                <w:sz w:val="24"/>
                <w:szCs w:val="24"/>
              </w:rPr>
            </w:pPr>
            <w:r>
              <w:rPr>
                <w:rFonts w:hint="eastAsia" w:ascii="仿宋_GB2312" w:eastAsia="仿宋_GB2312"/>
                <w:b/>
                <w:color w:val="000000"/>
                <w:sz w:val="24"/>
                <w:szCs w:val="24"/>
              </w:rPr>
              <w:t>评分标准</w:t>
            </w:r>
          </w:p>
        </w:tc>
        <w:tc>
          <w:tcPr>
            <w:tcW w:w="1148" w:type="dxa"/>
            <w:noWrap w:val="0"/>
            <w:vAlign w:val="top"/>
          </w:tcPr>
          <w:p>
            <w:pPr>
              <w:snapToGrid w:val="0"/>
              <w:spacing w:line="360" w:lineRule="exact"/>
              <w:jc w:val="center"/>
              <w:rPr>
                <w:rFonts w:ascii="仿宋_GB2312" w:eastAsia="仿宋_GB2312"/>
                <w:b/>
                <w:color w:val="000000"/>
                <w:sz w:val="24"/>
                <w:szCs w:val="24"/>
              </w:rPr>
            </w:pPr>
            <w:r>
              <w:rPr>
                <w:rFonts w:hint="eastAsia" w:ascii="仿宋_GB2312" w:eastAsia="仿宋_GB2312"/>
                <w:b/>
                <w:color w:val="000000"/>
                <w:sz w:val="24"/>
                <w:szCs w:val="24"/>
              </w:rPr>
              <w:t>分值Ei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vMerge w:val="restart"/>
            <w:noWrap w:val="0"/>
            <w:vAlign w:val="center"/>
          </w:tcPr>
          <w:p>
            <w:pPr>
              <w:snapToGrid w:val="0"/>
              <w:spacing w:line="360" w:lineRule="exact"/>
              <w:jc w:val="center"/>
              <w:rPr>
                <w:rFonts w:ascii="仿宋_GB2312" w:eastAsia="仿宋_GB2312"/>
                <w:b/>
                <w:color w:val="000000"/>
                <w:sz w:val="24"/>
                <w:szCs w:val="24"/>
              </w:rPr>
            </w:pPr>
            <w:r>
              <w:rPr>
                <w:rFonts w:hint="eastAsia" w:ascii="仿宋_GB2312" w:eastAsia="仿宋_GB2312"/>
                <w:b/>
                <w:color w:val="000000"/>
                <w:sz w:val="24"/>
                <w:szCs w:val="24"/>
              </w:rPr>
              <w:t>1</w:t>
            </w:r>
          </w:p>
        </w:tc>
        <w:tc>
          <w:tcPr>
            <w:tcW w:w="1559" w:type="dxa"/>
            <w:vMerge w:val="restart"/>
            <w:noWrap w:val="0"/>
            <w:vAlign w:val="center"/>
          </w:tcPr>
          <w:p>
            <w:pPr>
              <w:snapToGrid w:val="0"/>
              <w:spacing w:line="360" w:lineRule="exact"/>
              <w:jc w:val="center"/>
              <w:rPr>
                <w:rFonts w:ascii="仿宋_GB2312" w:eastAsia="仿宋_GB2312"/>
                <w:b/>
                <w:color w:val="000000"/>
                <w:sz w:val="24"/>
                <w:szCs w:val="24"/>
              </w:rPr>
            </w:pPr>
            <w:r>
              <w:rPr>
                <w:rFonts w:hint="eastAsia" w:ascii="仿宋_GB2312" w:eastAsia="仿宋_GB2312"/>
                <w:b/>
                <w:color w:val="000000"/>
                <w:sz w:val="24"/>
                <w:szCs w:val="24"/>
              </w:rPr>
              <w:t>设立</w:t>
            </w:r>
          </w:p>
          <w:p>
            <w:pPr>
              <w:snapToGrid w:val="0"/>
              <w:spacing w:line="360" w:lineRule="exact"/>
              <w:jc w:val="center"/>
              <w:rPr>
                <w:rFonts w:ascii="仿宋_GB2312" w:eastAsia="仿宋_GB2312"/>
                <w:color w:val="000000"/>
                <w:sz w:val="24"/>
                <w:szCs w:val="24"/>
              </w:rPr>
            </w:pPr>
            <w:r>
              <w:rPr>
                <w:rFonts w:hint="eastAsia" w:ascii="仿宋_GB2312" w:eastAsia="仿宋_GB2312"/>
                <w:b/>
                <w:color w:val="000000"/>
                <w:sz w:val="24"/>
                <w:szCs w:val="24"/>
              </w:rPr>
              <w:t>（20分）</w:t>
            </w:r>
          </w:p>
        </w:tc>
        <w:tc>
          <w:tcPr>
            <w:tcW w:w="3828" w:type="dxa"/>
            <w:noWrap w:val="0"/>
            <w:vAlign w:val="center"/>
          </w:tcPr>
          <w:p>
            <w:pPr>
              <w:snapToGrid w:val="0"/>
              <w:spacing w:line="360" w:lineRule="exact"/>
              <w:rPr>
                <w:rFonts w:hint="eastAsia" w:ascii="仿宋_GB2312" w:eastAsia="仿宋_GB2312"/>
                <w:color w:val="000000"/>
                <w:sz w:val="24"/>
                <w:szCs w:val="24"/>
              </w:rPr>
            </w:pPr>
            <w:r>
              <w:rPr>
                <w:rFonts w:hint="eastAsia" w:ascii="仿宋_GB2312" w:eastAsia="仿宋_GB2312"/>
                <w:color w:val="000000"/>
                <w:sz w:val="24"/>
                <w:szCs w:val="24"/>
              </w:rPr>
              <w:t>（1）化工园区应整体规划、集中布置，化工园区内不应有居民居住。</w:t>
            </w:r>
          </w:p>
        </w:tc>
        <w:tc>
          <w:tcPr>
            <w:tcW w:w="4520" w:type="dxa"/>
            <w:noWrap w:val="0"/>
            <w:vAlign w:val="top"/>
          </w:tcPr>
          <w:p>
            <w:pPr>
              <w:snapToGrid w:val="0"/>
              <w:spacing w:line="360" w:lineRule="exact"/>
              <w:rPr>
                <w:rFonts w:hint="eastAsia" w:ascii="仿宋_GB2312" w:eastAsia="仿宋_GB2312"/>
                <w:color w:val="000000"/>
                <w:sz w:val="24"/>
                <w:szCs w:val="24"/>
              </w:rPr>
            </w:pPr>
            <w:r>
              <w:rPr>
                <w:rFonts w:hint="eastAsia" w:ascii="仿宋_GB2312" w:eastAsia="仿宋_GB2312"/>
                <w:color w:val="000000"/>
                <w:sz w:val="24"/>
                <w:szCs w:val="24"/>
              </w:rPr>
              <w:t>0分-无整体规划或化工园区内有居民居住；</w:t>
            </w:r>
          </w:p>
          <w:p>
            <w:pPr>
              <w:snapToGrid w:val="0"/>
              <w:spacing w:line="360" w:lineRule="exact"/>
              <w:rPr>
                <w:rFonts w:hint="eastAsia" w:ascii="仿宋_GB2312" w:eastAsia="仿宋_GB2312"/>
                <w:color w:val="000000"/>
                <w:sz w:val="24"/>
                <w:szCs w:val="24"/>
              </w:rPr>
            </w:pPr>
            <w:r>
              <w:rPr>
                <w:rFonts w:hint="eastAsia" w:ascii="仿宋_GB2312" w:eastAsia="仿宋_GB2312"/>
                <w:color w:val="000000"/>
                <w:sz w:val="24"/>
                <w:szCs w:val="24"/>
              </w:rPr>
              <w:t>1分-整体规划，但未集中布置；</w:t>
            </w:r>
          </w:p>
          <w:p>
            <w:pPr>
              <w:snapToGrid w:val="0"/>
              <w:spacing w:line="360" w:lineRule="exact"/>
              <w:rPr>
                <w:rFonts w:hint="eastAsia" w:ascii="仿宋_GB2312" w:eastAsia="仿宋_GB2312"/>
                <w:color w:val="000000"/>
              </w:rPr>
            </w:pPr>
            <w:r>
              <w:rPr>
                <w:rFonts w:hint="eastAsia" w:ascii="仿宋_GB2312" w:eastAsia="仿宋_GB2312"/>
                <w:color w:val="000000"/>
                <w:sz w:val="24"/>
                <w:szCs w:val="24"/>
              </w:rPr>
              <w:t>5分-符合条件。</w:t>
            </w:r>
          </w:p>
        </w:tc>
        <w:tc>
          <w:tcPr>
            <w:tcW w:w="1148" w:type="dxa"/>
            <w:noWrap w:val="0"/>
            <w:vAlign w:val="top"/>
          </w:tcPr>
          <w:p>
            <w:pPr>
              <w:pStyle w:val="20"/>
              <w:snapToGrid w:val="0"/>
              <w:spacing w:line="360" w:lineRule="exact"/>
              <w:jc w:val="both"/>
              <w:rPr>
                <w:rFonts w:hint="eastAsia" w:ascii="仿宋_GB2312" w:eastAsia="仿宋_GB2312" w:cs="Times New Roman"/>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vMerge w:val="continue"/>
            <w:noWrap w:val="0"/>
            <w:vAlign w:val="center"/>
          </w:tcPr>
          <w:p>
            <w:pPr>
              <w:snapToGrid w:val="0"/>
              <w:spacing w:line="360" w:lineRule="exact"/>
              <w:jc w:val="center"/>
              <w:rPr>
                <w:rFonts w:ascii="仿宋_GB2312" w:eastAsia="仿宋_GB2312"/>
                <w:b/>
                <w:color w:val="000000"/>
                <w:sz w:val="24"/>
                <w:szCs w:val="24"/>
              </w:rPr>
            </w:pPr>
          </w:p>
        </w:tc>
        <w:tc>
          <w:tcPr>
            <w:tcW w:w="1559" w:type="dxa"/>
            <w:vMerge w:val="continue"/>
            <w:noWrap w:val="0"/>
            <w:vAlign w:val="center"/>
          </w:tcPr>
          <w:p>
            <w:pPr>
              <w:pStyle w:val="20"/>
              <w:snapToGrid w:val="0"/>
              <w:spacing w:line="360" w:lineRule="exact"/>
              <w:jc w:val="center"/>
              <w:rPr>
                <w:rFonts w:ascii="仿宋_GB2312" w:eastAsia="仿宋_GB2312"/>
              </w:rPr>
            </w:pPr>
          </w:p>
        </w:tc>
        <w:tc>
          <w:tcPr>
            <w:tcW w:w="3828" w:type="dxa"/>
            <w:noWrap w:val="0"/>
            <w:vAlign w:val="center"/>
          </w:tcPr>
          <w:p>
            <w:pPr>
              <w:snapToGrid w:val="0"/>
              <w:spacing w:line="360" w:lineRule="exact"/>
              <w:rPr>
                <w:rFonts w:hint="eastAsia" w:ascii="仿宋_GB2312" w:eastAsia="仿宋_GB2312"/>
                <w:color w:val="000000"/>
                <w:sz w:val="24"/>
                <w:szCs w:val="24"/>
              </w:rPr>
            </w:pPr>
            <w:r>
              <w:rPr>
                <w:rFonts w:hint="eastAsia" w:ascii="仿宋_GB2312" w:eastAsia="仿宋_GB2312"/>
                <w:color w:val="000000"/>
                <w:sz w:val="24"/>
                <w:szCs w:val="24"/>
              </w:rPr>
              <w:t>（2）化工园区应符合国家、区域和省市产业布局规划要求，在城乡总体规划确定的建设用地范围之内。</w:t>
            </w:r>
          </w:p>
        </w:tc>
        <w:tc>
          <w:tcPr>
            <w:tcW w:w="4520" w:type="dxa"/>
            <w:noWrap w:val="0"/>
            <w:vAlign w:val="top"/>
          </w:tcPr>
          <w:p>
            <w:pPr>
              <w:snapToGrid w:val="0"/>
              <w:spacing w:line="360" w:lineRule="exact"/>
              <w:rPr>
                <w:rFonts w:hint="eastAsia" w:ascii="仿宋_GB2312" w:eastAsia="仿宋_GB2312"/>
                <w:color w:val="000000"/>
                <w:sz w:val="24"/>
                <w:szCs w:val="24"/>
              </w:rPr>
            </w:pPr>
            <w:r>
              <w:rPr>
                <w:rFonts w:hint="eastAsia" w:ascii="仿宋_GB2312" w:eastAsia="仿宋_GB2312"/>
                <w:color w:val="000000"/>
                <w:sz w:val="24"/>
                <w:szCs w:val="24"/>
              </w:rPr>
              <w:t>0分-不符合国家、区域和省市产业布局规划要求或不在城乡总体规划确定的建设用地范围之内；</w:t>
            </w:r>
          </w:p>
          <w:p>
            <w:pPr>
              <w:snapToGrid w:val="0"/>
              <w:spacing w:line="360" w:lineRule="exact"/>
              <w:rPr>
                <w:rFonts w:hint="eastAsia" w:ascii="仿宋_GB2312" w:hAnsi="Times New Roman" w:eastAsia="仿宋_GB2312"/>
                <w:color w:val="000000"/>
                <w:sz w:val="24"/>
                <w:szCs w:val="24"/>
              </w:rPr>
            </w:pPr>
            <w:r>
              <w:rPr>
                <w:rFonts w:hint="eastAsia" w:ascii="仿宋_GB2312" w:eastAsia="仿宋_GB2312"/>
                <w:color w:val="000000"/>
                <w:sz w:val="24"/>
                <w:szCs w:val="24"/>
              </w:rPr>
              <w:t>5分-符合条件。</w:t>
            </w:r>
          </w:p>
        </w:tc>
        <w:tc>
          <w:tcPr>
            <w:tcW w:w="1148" w:type="dxa"/>
            <w:noWrap w:val="0"/>
            <w:vAlign w:val="top"/>
          </w:tcPr>
          <w:p>
            <w:pPr>
              <w:snapToGrid w:val="0"/>
              <w:spacing w:line="360" w:lineRule="exact"/>
              <w:rPr>
                <w:rFonts w:hint="eastAsia" w:ascii="仿宋_GB2312" w:hAnsi="Times New Roman"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vMerge w:val="continue"/>
            <w:noWrap w:val="0"/>
            <w:vAlign w:val="center"/>
          </w:tcPr>
          <w:p>
            <w:pPr>
              <w:snapToGrid w:val="0"/>
              <w:spacing w:line="360" w:lineRule="exact"/>
              <w:jc w:val="center"/>
              <w:rPr>
                <w:rFonts w:ascii="仿宋_GB2312" w:eastAsia="仿宋_GB2312"/>
                <w:b/>
                <w:color w:val="000000"/>
                <w:sz w:val="24"/>
                <w:szCs w:val="24"/>
              </w:rPr>
            </w:pPr>
          </w:p>
        </w:tc>
        <w:tc>
          <w:tcPr>
            <w:tcW w:w="1559" w:type="dxa"/>
            <w:vMerge w:val="continue"/>
            <w:noWrap w:val="0"/>
            <w:vAlign w:val="center"/>
          </w:tcPr>
          <w:p>
            <w:pPr>
              <w:pStyle w:val="20"/>
              <w:snapToGrid w:val="0"/>
              <w:spacing w:line="360" w:lineRule="exact"/>
              <w:jc w:val="center"/>
              <w:rPr>
                <w:rFonts w:ascii="仿宋_GB2312" w:eastAsia="仿宋_GB2312"/>
              </w:rPr>
            </w:pPr>
          </w:p>
        </w:tc>
        <w:tc>
          <w:tcPr>
            <w:tcW w:w="3828" w:type="dxa"/>
            <w:noWrap w:val="0"/>
            <w:vAlign w:val="center"/>
          </w:tcPr>
          <w:p>
            <w:pPr>
              <w:snapToGrid w:val="0"/>
              <w:spacing w:line="360" w:lineRule="exact"/>
              <w:rPr>
                <w:rFonts w:hint="eastAsia" w:ascii="仿宋_GB2312" w:eastAsia="仿宋_GB2312"/>
                <w:color w:val="000000"/>
                <w:sz w:val="24"/>
                <w:szCs w:val="24"/>
              </w:rPr>
            </w:pPr>
            <w:r>
              <w:rPr>
                <w:rFonts w:hint="eastAsia" w:ascii="仿宋_GB2312" w:eastAsia="仿宋_GB2312"/>
                <w:color w:val="000000"/>
                <w:sz w:val="24"/>
                <w:szCs w:val="24"/>
              </w:rPr>
              <w:t>（3）化工园区应在时效期（5年）内经过整体性安全风险评估，且满足国家安全风险基准要求。</w:t>
            </w:r>
          </w:p>
        </w:tc>
        <w:tc>
          <w:tcPr>
            <w:tcW w:w="4520" w:type="dxa"/>
            <w:noWrap w:val="0"/>
            <w:vAlign w:val="top"/>
          </w:tcPr>
          <w:p>
            <w:pPr>
              <w:snapToGrid w:val="0"/>
              <w:spacing w:line="360" w:lineRule="exact"/>
              <w:rPr>
                <w:rFonts w:hint="eastAsia" w:ascii="仿宋_GB2312" w:eastAsia="仿宋_GB2312"/>
                <w:color w:val="000000"/>
                <w:sz w:val="24"/>
                <w:szCs w:val="24"/>
              </w:rPr>
            </w:pPr>
            <w:r>
              <w:rPr>
                <w:rFonts w:hint="eastAsia" w:ascii="仿宋_GB2312" w:eastAsia="仿宋_GB2312"/>
                <w:color w:val="000000"/>
                <w:sz w:val="24"/>
                <w:szCs w:val="24"/>
              </w:rPr>
              <w:t>0分-未开展整体性安全风险评估或安全风险不可以接受；</w:t>
            </w:r>
          </w:p>
          <w:p>
            <w:pPr>
              <w:snapToGrid w:val="0"/>
              <w:spacing w:line="360" w:lineRule="exact"/>
              <w:rPr>
                <w:rFonts w:hint="eastAsia" w:ascii="仿宋_GB2312" w:eastAsia="仿宋_GB2312"/>
                <w:color w:val="000000"/>
                <w:sz w:val="24"/>
                <w:szCs w:val="24"/>
              </w:rPr>
            </w:pPr>
            <w:r>
              <w:rPr>
                <w:rFonts w:hint="eastAsia" w:ascii="仿宋_GB2312" w:eastAsia="仿宋_GB2312"/>
                <w:color w:val="000000"/>
                <w:sz w:val="24"/>
                <w:szCs w:val="24"/>
              </w:rPr>
              <w:t>1分-整体性安全风险评估不在时效期内；</w:t>
            </w:r>
          </w:p>
          <w:p>
            <w:pPr>
              <w:snapToGrid w:val="0"/>
              <w:spacing w:line="360" w:lineRule="exact"/>
              <w:rPr>
                <w:rFonts w:hint="eastAsia" w:ascii="仿宋_GB2312" w:hAnsi="Times New Roman" w:eastAsia="仿宋_GB2312"/>
                <w:color w:val="000000"/>
                <w:sz w:val="24"/>
                <w:szCs w:val="24"/>
              </w:rPr>
            </w:pPr>
            <w:r>
              <w:rPr>
                <w:rFonts w:hint="eastAsia" w:ascii="仿宋_GB2312" w:eastAsia="仿宋_GB2312"/>
                <w:color w:val="000000"/>
                <w:sz w:val="24"/>
                <w:szCs w:val="24"/>
              </w:rPr>
              <w:t>5分-符合条件。</w:t>
            </w:r>
          </w:p>
        </w:tc>
        <w:tc>
          <w:tcPr>
            <w:tcW w:w="1148" w:type="dxa"/>
            <w:noWrap w:val="0"/>
            <w:vAlign w:val="top"/>
          </w:tcPr>
          <w:p>
            <w:pPr>
              <w:snapToGrid w:val="0"/>
              <w:spacing w:line="360" w:lineRule="exact"/>
              <w:rPr>
                <w:rFonts w:hint="eastAsia" w:ascii="仿宋_GB2312" w:hAnsi="Times New Roman"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vMerge w:val="continue"/>
            <w:noWrap w:val="0"/>
            <w:vAlign w:val="center"/>
          </w:tcPr>
          <w:p>
            <w:pPr>
              <w:snapToGrid w:val="0"/>
              <w:spacing w:line="360" w:lineRule="exact"/>
              <w:jc w:val="center"/>
              <w:rPr>
                <w:rFonts w:ascii="仿宋_GB2312" w:eastAsia="仿宋_GB2312"/>
                <w:b/>
                <w:color w:val="000000"/>
                <w:sz w:val="24"/>
                <w:szCs w:val="24"/>
              </w:rPr>
            </w:pPr>
          </w:p>
        </w:tc>
        <w:tc>
          <w:tcPr>
            <w:tcW w:w="1559" w:type="dxa"/>
            <w:vMerge w:val="continue"/>
            <w:noWrap w:val="0"/>
            <w:vAlign w:val="center"/>
          </w:tcPr>
          <w:p>
            <w:pPr>
              <w:pStyle w:val="20"/>
              <w:snapToGrid w:val="0"/>
              <w:spacing w:line="360" w:lineRule="exact"/>
              <w:jc w:val="center"/>
              <w:rPr>
                <w:rFonts w:ascii="仿宋_GB2312" w:eastAsia="仿宋_GB2312"/>
              </w:rPr>
            </w:pPr>
          </w:p>
        </w:tc>
        <w:tc>
          <w:tcPr>
            <w:tcW w:w="3828" w:type="dxa"/>
            <w:noWrap w:val="0"/>
            <w:vAlign w:val="center"/>
          </w:tcPr>
          <w:p>
            <w:pPr>
              <w:snapToGrid w:val="0"/>
              <w:spacing w:line="360" w:lineRule="exact"/>
              <w:rPr>
                <w:rFonts w:hint="eastAsia" w:ascii="仿宋_GB2312" w:eastAsia="仿宋_GB2312"/>
                <w:color w:val="000000"/>
                <w:sz w:val="24"/>
                <w:szCs w:val="24"/>
              </w:rPr>
            </w:pPr>
            <w:r>
              <w:rPr>
                <w:rFonts w:hint="eastAsia" w:ascii="仿宋_GB2312" w:eastAsia="仿宋_GB2312"/>
                <w:color w:val="000000"/>
                <w:sz w:val="24"/>
                <w:szCs w:val="24"/>
              </w:rPr>
              <w:t>（4）化工园区的设立应经省级及以上人民政府的批复认定。</w:t>
            </w:r>
          </w:p>
        </w:tc>
        <w:tc>
          <w:tcPr>
            <w:tcW w:w="4520" w:type="dxa"/>
            <w:noWrap w:val="0"/>
            <w:vAlign w:val="top"/>
          </w:tcPr>
          <w:p>
            <w:pPr>
              <w:snapToGrid w:val="0"/>
              <w:spacing w:line="360" w:lineRule="exact"/>
              <w:rPr>
                <w:rFonts w:hint="eastAsia" w:ascii="仿宋_GB2312" w:hAnsi="Times New Roman" w:eastAsia="仿宋_GB2312"/>
                <w:color w:val="000000"/>
                <w:sz w:val="24"/>
                <w:szCs w:val="24"/>
              </w:rPr>
            </w:pPr>
            <w:r>
              <w:rPr>
                <w:rFonts w:hint="eastAsia" w:ascii="仿宋_GB2312" w:eastAsia="仿宋_GB2312"/>
                <w:color w:val="000000"/>
                <w:sz w:val="24"/>
                <w:szCs w:val="24"/>
              </w:rPr>
              <w:t>0分-未经省级及以上人民政府批复认定；</w:t>
            </w:r>
          </w:p>
          <w:p>
            <w:pPr>
              <w:snapToGrid w:val="0"/>
              <w:spacing w:line="360" w:lineRule="exact"/>
              <w:rPr>
                <w:rFonts w:hint="eastAsia" w:ascii="仿宋_GB2312" w:hAnsi="Times New Roman" w:eastAsia="仿宋_GB2312"/>
                <w:color w:val="000000"/>
                <w:sz w:val="24"/>
                <w:szCs w:val="24"/>
              </w:rPr>
            </w:pPr>
            <w:r>
              <w:rPr>
                <w:rFonts w:hint="eastAsia" w:ascii="仿宋_GB2312" w:eastAsia="仿宋_GB2312"/>
                <w:color w:val="000000"/>
                <w:sz w:val="24"/>
                <w:szCs w:val="24"/>
              </w:rPr>
              <w:t>5分-符合条件。</w:t>
            </w:r>
          </w:p>
        </w:tc>
        <w:tc>
          <w:tcPr>
            <w:tcW w:w="1148" w:type="dxa"/>
            <w:noWrap w:val="0"/>
            <w:vAlign w:val="top"/>
          </w:tcPr>
          <w:p>
            <w:pPr>
              <w:snapToGrid w:val="0"/>
              <w:spacing w:line="360" w:lineRule="exact"/>
              <w:rPr>
                <w:rFonts w:hint="eastAsia" w:ascii="仿宋_GB2312" w:hAnsi="Times New Roman"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vMerge w:val="restart"/>
            <w:noWrap w:val="0"/>
            <w:vAlign w:val="center"/>
          </w:tcPr>
          <w:p>
            <w:pPr>
              <w:snapToGrid w:val="0"/>
              <w:spacing w:line="360" w:lineRule="exact"/>
              <w:jc w:val="center"/>
              <w:rPr>
                <w:rFonts w:ascii="仿宋_GB2312" w:eastAsia="仿宋_GB2312"/>
                <w:b/>
                <w:color w:val="000000"/>
                <w:sz w:val="24"/>
                <w:szCs w:val="24"/>
              </w:rPr>
            </w:pPr>
            <w:r>
              <w:rPr>
                <w:rFonts w:hint="eastAsia" w:ascii="仿宋_GB2312" w:eastAsia="仿宋_GB2312"/>
                <w:b/>
                <w:color w:val="000000"/>
                <w:sz w:val="24"/>
                <w:szCs w:val="24"/>
              </w:rPr>
              <w:t>2</w:t>
            </w:r>
          </w:p>
        </w:tc>
        <w:tc>
          <w:tcPr>
            <w:tcW w:w="1559" w:type="dxa"/>
            <w:vMerge w:val="restart"/>
            <w:noWrap w:val="0"/>
            <w:vAlign w:val="center"/>
          </w:tcPr>
          <w:p>
            <w:pPr>
              <w:pStyle w:val="20"/>
              <w:snapToGrid w:val="0"/>
              <w:spacing w:line="360" w:lineRule="exact"/>
              <w:jc w:val="center"/>
              <w:rPr>
                <w:rFonts w:ascii="仿宋_GB2312" w:eastAsia="仿宋_GB2312" w:cs="Times New Roman"/>
                <w:b/>
                <w:kern w:val="2"/>
              </w:rPr>
            </w:pPr>
            <w:r>
              <w:rPr>
                <w:rFonts w:hint="eastAsia" w:ascii="仿宋_GB2312" w:eastAsia="仿宋_GB2312" w:cs="Times New Roman"/>
                <w:b/>
                <w:kern w:val="2"/>
              </w:rPr>
              <w:t>选址</w:t>
            </w:r>
            <w:r>
              <w:rPr>
                <w:rFonts w:ascii="仿宋_GB2312" w:eastAsia="仿宋_GB2312" w:cs="Times New Roman"/>
                <w:b/>
                <w:kern w:val="2"/>
              </w:rPr>
              <w:t>及</w:t>
            </w:r>
            <w:r>
              <w:rPr>
                <w:rFonts w:hint="eastAsia" w:ascii="仿宋_GB2312" w:eastAsia="仿宋_GB2312" w:cs="Times New Roman"/>
                <w:b/>
                <w:kern w:val="2"/>
              </w:rPr>
              <w:t>规划</w:t>
            </w:r>
          </w:p>
          <w:p>
            <w:pPr>
              <w:pStyle w:val="20"/>
              <w:snapToGrid w:val="0"/>
              <w:spacing w:line="360" w:lineRule="exact"/>
              <w:jc w:val="center"/>
              <w:rPr>
                <w:rFonts w:ascii="仿宋_GB2312" w:eastAsia="仿宋_GB2312" w:cs="Times New Roman"/>
                <w:b/>
                <w:kern w:val="2"/>
              </w:rPr>
            </w:pPr>
            <w:r>
              <w:rPr>
                <w:rFonts w:hint="eastAsia" w:ascii="仿宋_GB2312" w:eastAsia="仿宋_GB2312" w:cs="Times New Roman"/>
                <w:b/>
                <w:kern w:val="2"/>
              </w:rPr>
              <w:t>（30分）</w:t>
            </w:r>
          </w:p>
        </w:tc>
        <w:tc>
          <w:tcPr>
            <w:tcW w:w="3828" w:type="dxa"/>
            <w:noWrap w:val="0"/>
            <w:vAlign w:val="center"/>
          </w:tcPr>
          <w:p>
            <w:pPr>
              <w:spacing w:line="360" w:lineRule="exact"/>
              <w:outlineLvl w:val="1"/>
              <w:rPr>
                <w:rFonts w:hint="eastAsia" w:ascii="仿宋_GB2312" w:eastAsia="仿宋_GB2312"/>
                <w:color w:val="000000"/>
                <w:sz w:val="24"/>
                <w:szCs w:val="24"/>
              </w:rPr>
            </w:pPr>
            <w:r>
              <w:rPr>
                <w:rFonts w:hint="eastAsia" w:ascii="仿宋_GB2312" w:eastAsia="仿宋_GB2312"/>
                <w:color w:val="000000"/>
                <w:sz w:val="24"/>
                <w:szCs w:val="24"/>
              </w:rPr>
              <w:t>（5）化工园区所在地省级和设区的市级人民政府应编制《化工行业发展规划》和《化工行业安全发展规划》，化工园区应位于其专门用于危险化学品的生产、储存规划区域。</w:t>
            </w:r>
          </w:p>
        </w:tc>
        <w:tc>
          <w:tcPr>
            <w:tcW w:w="4520" w:type="dxa"/>
            <w:noWrap w:val="0"/>
            <w:vAlign w:val="top"/>
          </w:tcPr>
          <w:p>
            <w:pPr>
              <w:spacing w:line="360" w:lineRule="exact"/>
              <w:outlineLvl w:val="2"/>
              <w:rPr>
                <w:rFonts w:hint="eastAsia" w:ascii="仿宋_GB2312" w:hAnsi="Times New Roman" w:eastAsia="仿宋_GB2312"/>
                <w:color w:val="000000"/>
                <w:sz w:val="24"/>
                <w:szCs w:val="24"/>
              </w:rPr>
            </w:pPr>
            <w:r>
              <w:rPr>
                <w:rFonts w:hint="eastAsia" w:ascii="仿宋_GB2312" w:hAnsi="Times New Roman" w:eastAsia="仿宋_GB2312"/>
                <w:color w:val="000000"/>
                <w:sz w:val="24"/>
                <w:szCs w:val="24"/>
              </w:rPr>
              <w:t>0分-未编制</w:t>
            </w:r>
            <w:r>
              <w:rPr>
                <w:rFonts w:hint="eastAsia" w:ascii="仿宋_GB2312" w:eastAsia="仿宋_GB2312"/>
                <w:color w:val="000000"/>
                <w:sz w:val="24"/>
                <w:szCs w:val="24"/>
              </w:rPr>
              <w:t>《化工行业发展规划》和《化工行业安全发展规划》，或化工园区未位于危险化学品的生产、储存规划区域；</w:t>
            </w:r>
          </w:p>
          <w:p>
            <w:pPr>
              <w:spacing w:line="360" w:lineRule="exact"/>
              <w:outlineLvl w:val="2"/>
              <w:rPr>
                <w:rFonts w:hint="eastAsia" w:ascii="仿宋_GB2312" w:hAnsi="Times New Roman" w:eastAsia="仿宋_GB2312"/>
                <w:color w:val="000000"/>
                <w:sz w:val="24"/>
                <w:szCs w:val="24"/>
              </w:rPr>
            </w:pPr>
            <w:r>
              <w:rPr>
                <w:rFonts w:hint="eastAsia" w:ascii="仿宋_GB2312" w:hAnsi="Times New Roman" w:eastAsia="仿宋_GB2312"/>
                <w:color w:val="000000"/>
                <w:sz w:val="24"/>
                <w:szCs w:val="24"/>
              </w:rPr>
              <w:t>1分-编制了《</w:t>
            </w:r>
            <w:r>
              <w:rPr>
                <w:rFonts w:hint="eastAsia" w:ascii="仿宋_GB2312" w:eastAsia="仿宋_GB2312"/>
                <w:color w:val="000000"/>
                <w:sz w:val="24"/>
                <w:szCs w:val="24"/>
              </w:rPr>
              <w:t>化工行业发展规划</w:t>
            </w:r>
            <w:r>
              <w:rPr>
                <w:rFonts w:hint="eastAsia" w:ascii="仿宋_GB2312" w:hAnsi="Times New Roman" w:eastAsia="仿宋_GB2312"/>
                <w:color w:val="000000"/>
                <w:sz w:val="24"/>
                <w:szCs w:val="24"/>
              </w:rPr>
              <w:t>》；</w:t>
            </w:r>
          </w:p>
          <w:p>
            <w:pPr>
              <w:spacing w:line="360" w:lineRule="exact"/>
              <w:outlineLvl w:val="2"/>
              <w:rPr>
                <w:rFonts w:hint="eastAsia" w:ascii="仿宋_GB2312" w:hAnsi="Times New Roman" w:eastAsia="仿宋_GB2312"/>
                <w:color w:val="000000"/>
                <w:sz w:val="24"/>
                <w:szCs w:val="24"/>
              </w:rPr>
            </w:pPr>
            <w:r>
              <w:rPr>
                <w:rFonts w:hint="eastAsia" w:ascii="仿宋_GB2312" w:hAnsi="Times New Roman" w:eastAsia="仿宋_GB2312"/>
                <w:color w:val="000000"/>
                <w:sz w:val="24"/>
                <w:szCs w:val="24"/>
              </w:rPr>
              <w:t>3分-编制了《</w:t>
            </w:r>
            <w:r>
              <w:rPr>
                <w:rFonts w:hint="eastAsia" w:ascii="仿宋_GB2312" w:eastAsia="仿宋_GB2312"/>
                <w:color w:val="000000"/>
                <w:sz w:val="24"/>
                <w:szCs w:val="24"/>
              </w:rPr>
              <w:t>化工行业安全发展规划</w:t>
            </w:r>
            <w:r>
              <w:rPr>
                <w:rFonts w:hint="eastAsia" w:ascii="仿宋_GB2312" w:hAnsi="Times New Roman" w:eastAsia="仿宋_GB2312"/>
                <w:color w:val="000000"/>
                <w:sz w:val="24"/>
                <w:szCs w:val="24"/>
              </w:rPr>
              <w:t>》；</w:t>
            </w:r>
          </w:p>
          <w:p>
            <w:pPr>
              <w:spacing w:line="360" w:lineRule="exact"/>
              <w:outlineLvl w:val="2"/>
              <w:rPr>
                <w:rFonts w:hint="eastAsia" w:ascii="仿宋_GB2312" w:hAnsi="Times New Roman" w:eastAsia="仿宋_GB2312"/>
                <w:color w:val="000000"/>
                <w:sz w:val="24"/>
                <w:szCs w:val="24"/>
              </w:rPr>
            </w:pPr>
            <w:r>
              <w:rPr>
                <w:rFonts w:hint="eastAsia" w:ascii="仿宋_GB2312" w:hAnsi="Times New Roman" w:eastAsia="仿宋_GB2312"/>
                <w:color w:val="000000"/>
                <w:sz w:val="24"/>
                <w:szCs w:val="24"/>
              </w:rPr>
              <w:t>5分-符合条件。</w:t>
            </w:r>
          </w:p>
        </w:tc>
        <w:tc>
          <w:tcPr>
            <w:tcW w:w="1148" w:type="dxa"/>
            <w:noWrap w:val="0"/>
            <w:vAlign w:val="top"/>
          </w:tcPr>
          <w:p>
            <w:pPr>
              <w:spacing w:line="360" w:lineRule="exact"/>
              <w:outlineLvl w:val="2"/>
              <w:rPr>
                <w:rFonts w:hint="eastAsia" w:ascii="仿宋_GB2312" w:hAnsi="Times New Roman"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vMerge w:val="continue"/>
            <w:noWrap w:val="0"/>
            <w:vAlign w:val="center"/>
          </w:tcPr>
          <w:p>
            <w:pPr>
              <w:snapToGrid w:val="0"/>
              <w:spacing w:line="360" w:lineRule="exact"/>
              <w:jc w:val="center"/>
              <w:rPr>
                <w:rFonts w:ascii="仿宋_GB2312" w:eastAsia="仿宋_GB2312"/>
                <w:b/>
                <w:color w:val="000000"/>
                <w:sz w:val="24"/>
                <w:szCs w:val="24"/>
              </w:rPr>
            </w:pPr>
          </w:p>
        </w:tc>
        <w:tc>
          <w:tcPr>
            <w:tcW w:w="1559" w:type="dxa"/>
            <w:vMerge w:val="continue"/>
            <w:noWrap w:val="0"/>
            <w:vAlign w:val="center"/>
          </w:tcPr>
          <w:p>
            <w:pPr>
              <w:pStyle w:val="20"/>
              <w:snapToGrid w:val="0"/>
              <w:spacing w:line="360" w:lineRule="exact"/>
              <w:jc w:val="center"/>
              <w:rPr>
                <w:rFonts w:ascii="仿宋_GB2312" w:eastAsia="仿宋_GB2312" w:cs="Times New Roman"/>
                <w:b/>
                <w:kern w:val="2"/>
              </w:rPr>
            </w:pPr>
          </w:p>
        </w:tc>
        <w:tc>
          <w:tcPr>
            <w:tcW w:w="3828" w:type="dxa"/>
            <w:noWrap w:val="0"/>
            <w:vAlign w:val="center"/>
          </w:tcPr>
          <w:p>
            <w:pPr>
              <w:spacing w:line="360" w:lineRule="exact"/>
              <w:outlineLvl w:val="1"/>
              <w:rPr>
                <w:rFonts w:hint="eastAsia" w:ascii="仿宋_GB2312" w:eastAsia="仿宋_GB2312"/>
                <w:color w:val="000000"/>
                <w:sz w:val="24"/>
                <w:szCs w:val="24"/>
              </w:rPr>
            </w:pPr>
            <w:r>
              <w:rPr>
                <w:rFonts w:hint="eastAsia" w:ascii="仿宋_GB2312" w:eastAsia="仿宋_GB2312"/>
                <w:color w:val="000000"/>
                <w:sz w:val="24"/>
                <w:szCs w:val="24"/>
              </w:rPr>
              <w:t>（6）化工园区选址应把安全放在首位，化工园区应当进行选址安全评估，化工园区与城市建成区、人口密集区、重要设施、敏感目标之间保持足够的安全防护距离，留有适当的绿化缓冲带，将化工园区安全与周边公共安全的相互影响降至最低。</w:t>
            </w:r>
          </w:p>
        </w:tc>
        <w:tc>
          <w:tcPr>
            <w:tcW w:w="4520" w:type="dxa"/>
            <w:noWrap w:val="0"/>
            <w:vAlign w:val="top"/>
          </w:tcPr>
          <w:p>
            <w:pPr>
              <w:spacing w:line="360" w:lineRule="exact"/>
              <w:outlineLvl w:val="2"/>
              <w:rPr>
                <w:rFonts w:hint="eastAsia" w:ascii="仿宋_GB2312" w:eastAsia="仿宋_GB2312"/>
                <w:color w:val="000000"/>
                <w:sz w:val="24"/>
                <w:szCs w:val="24"/>
              </w:rPr>
            </w:pPr>
            <w:r>
              <w:rPr>
                <w:rFonts w:hint="eastAsia" w:ascii="仿宋_GB2312" w:hAnsi="Times New Roman" w:eastAsia="仿宋_GB2312"/>
                <w:color w:val="000000"/>
                <w:sz w:val="24"/>
                <w:szCs w:val="24"/>
              </w:rPr>
              <w:t>0分-未</w:t>
            </w:r>
            <w:r>
              <w:rPr>
                <w:rFonts w:hint="eastAsia" w:ascii="仿宋_GB2312" w:eastAsia="仿宋_GB2312"/>
                <w:color w:val="000000"/>
                <w:sz w:val="24"/>
                <w:szCs w:val="24"/>
              </w:rPr>
              <w:t>进行选址安全评估，或化工园区与城市建成区、人口密集区、重要设施、敏感目标之间安全防护距离不满足要求；</w:t>
            </w:r>
          </w:p>
          <w:p>
            <w:pPr>
              <w:spacing w:line="360" w:lineRule="exact"/>
              <w:outlineLvl w:val="2"/>
              <w:rPr>
                <w:rFonts w:hint="eastAsia" w:ascii="仿宋_GB2312" w:hAnsi="Times New Roman" w:eastAsia="仿宋_GB2312"/>
                <w:color w:val="000000"/>
                <w:sz w:val="24"/>
                <w:szCs w:val="24"/>
              </w:rPr>
            </w:pPr>
            <w:r>
              <w:rPr>
                <w:rFonts w:hint="eastAsia" w:ascii="仿宋_GB2312" w:hAnsi="Times New Roman" w:eastAsia="仿宋_GB2312"/>
                <w:color w:val="000000"/>
                <w:sz w:val="24"/>
                <w:szCs w:val="24"/>
              </w:rPr>
              <w:t>1</w:t>
            </w:r>
            <w:r>
              <w:rPr>
                <w:rFonts w:hint="eastAsia" w:ascii="仿宋_GB2312" w:eastAsia="仿宋_GB2312"/>
                <w:color w:val="000000"/>
                <w:sz w:val="24"/>
                <w:szCs w:val="24"/>
              </w:rPr>
              <w:t>分</w:t>
            </w:r>
            <w:r>
              <w:rPr>
                <w:rFonts w:hint="eastAsia" w:ascii="仿宋_GB2312" w:hAnsi="Times New Roman" w:eastAsia="仿宋_GB2312"/>
                <w:color w:val="000000"/>
                <w:sz w:val="24"/>
                <w:szCs w:val="24"/>
              </w:rPr>
              <w:t>-</w:t>
            </w:r>
            <w:r>
              <w:rPr>
                <w:rFonts w:hint="eastAsia" w:ascii="仿宋_GB2312" w:eastAsia="仿宋_GB2312"/>
                <w:color w:val="000000"/>
                <w:sz w:val="24"/>
                <w:szCs w:val="24"/>
              </w:rPr>
              <w:t>进行了选址安全评估，化工园区与城市建成区、人口密集区、重要设施、敏感目标之间安全防护距离满足要求；绿化缓冲带</w:t>
            </w:r>
            <w:r>
              <w:rPr>
                <w:rFonts w:hint="eastAsia" w:ascii="仿宋_GB2312" w:hAnsi="Times New Roman" w:eastAsia="仿宋_GB2312"/>
                <w:color w:val="000000"/>
                <w:sz w:val="24"/>
                <w:szCs w:val="24"/>
              </w:rPr>
              <w:t>小于200米；</w:t>
            </w:r>
          </w:p>
          <w:p>
            <w:pPr>
              <w:spacing w:line="360" w:lineRule="exact"/>
              <w:outlineLvl w:val="2"/>
              <w:rPr>
                <w:rFonts w:hint="eastAsia" w:ascii="仿宋_GB2312" w:hAnsi="Times New Roman" w:eastAsia="仿宋_GB2312"/>
                <w:color w:val="000000"/>
                <w:sz w:val="24"/>
                <w:szCs w:val="24"/>
              </w:rPr>
            </w:pPr>
            <w:r>
              <w:rPr>
                <w:rFonts w:hint="eastAsia" w:ascii="仿宋_GB2312" w:hAnsi="Times New Roman" w:eastAsia="仿宋_GB2312"/>
                <w:color w:val="000000"/>
                <w:sz w:val="24"/>
                <w:szCs w:val="24"/>
              </w:rPr>
              <w:t>3分-</w:t>
            </w:r>
            <w:r>
              <w:rPr>
                <w:rFonts w:hint="eastAsia" w:ascii="仿宋_GB2312" w:eastAsia="仿宋_GB2312"/>
                <w:color w:val="000000"/>
                <w:sz w:val="24"/>
                <w:szCs w:val="24"/>
              </w:rPr>
              <w:t>进行了选址安全评估，化工园区与城市建成区、人口密集区、重要设施、敏感目标之间安全防护距离满足要求；绿化缓冲带</w:t>
            </w:r>
            <w:r>
              <w:rPr>
                <w:rFonts w:hint="eastAsia" w:ascii="仿宋_GB2312" w:hAnsi="Times New Roman" w:eastAsia="仿宋_GB2312"/>
                <w:color w:val="000000"/>
                <w:sz w:val="24"/>
                <w:szCs w:val="24"/>
              </w:rPr>
              <w:t>200-500米；</w:t>
            </w:r>
          </w:p>
          <w:p>
            <w:pPr>
              <w:spacing w:line="360" w:lineRule="exact"/>
              <w:outlineLvl w:val="2"/>
              <w:rPr>
                <w:rFonts w:hint="eastAsia" w:ascii="仿宋_GB2312" w:hAnsi="Times New Roman" w:eastAsia="仿宋_GB2312"/>
                <w:color w:val="000000"/>
                <w:sz w:val="24"/>
                <w:szCs w:val="24"/>
              </w:rPr>
            </w:pPr>
            <w:r>
              <w:rPr>
                <w:rFonts w:hint="eastAsia" w:ascii="仿宋_GB2312" w:hAnsi="Times New Roman" w:eastAsia="仿宋_GB2312"/>
                <w:color w:val="000000"/>
                <w:sz w:val="24"/>
                <w:szCs w:val="24"/>
              </w:rPr>
              <w:t>5分-</w:t>
            </w:r>
            <w:r>
              <w:rPr>
                <w:rFonts w:hint="eastAsia" w:ascii="仿宋_GB2312" w:eastAsia="仿宋_GB2312"/>
                <w:color w:val="000000"/>
                <w:sz w:val="24"/>
                <w:szCs w:val="24"/>
              </w:rPr>
              <w:t>进行了选址安全评估，化工园区与城市建成区、人口密集区、重要设施、敏感目标之间安全防护距离满足要求；绿化缓冲带</w:t>
            </w:r>
            <w:r>
              <w:rPr>
                <w:rFonts w:hint="eastAsia" w:ascii="仿宋_GB2312" w:hAnsi="Times New Roman" w:eastAsia="仿宋_GB2312"/>
                <w:color w:val="000000"/>
                <w:sz w:val="24"/>
                <w:szCs w:val="24"/>
              </w:rPr>
              <w:t>大于等于500米。</w:t>
            </w:r>
          </w:p>
        </w:tc>
        <w:tc>
          <w:tcPr>
            <w:tcW w:w="1148" w:type="dxa"/>
            <w:noWrap w:val="0"/>
            <w:vAlign w:val="top"/>
          </w:tcPr>
          <w:p>
            <w:pPr>
              <w:spacing w:line="360" w:lineRule="exact"/>
              <w:outlineLvl w:val="2"/>
              <w:rPr>
                <w:rFonts w:hint="eastAsia" w:ascii="仿宋_GB2312" w:hAnsi="Times New Roman"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vMerge w:val="continue"/>
            <w:noWrap w:val="0"/>
            <w:vAlign w:val="center"/>
          </w:tcPr>
          <w:p>
            <w:pPr>
              <w:snapToGrid w:val="0"/>
              <w:spacing w:line="360" w:lineRule="exact"/>
              <w:jc w:val="center"/>
              <w:rPr>
                <w:rFonts w:ascii="仿宋_GB2312" w:eastAsia="仿宋_GB2312"/>
                <w:b/>
                <w:color w:val="000000"/>
                <w:sz w:val="24"/>
                <w:szCs w:val="24"/>
              </w:rPr>
            </w:pPr>
          </w:p>
        </w:tc>
        <w:tc>
          <w:tcPr>
            <w:tcW w:w="1559" w:type="dxa"/>
            <w:vMerge w:val="continue"/>
            <w:noWrap w:val="0"/>
            <w:vAlign w:val="center"/>
          </w:tcPr>
          <w:p>
            <w:pPr>
              <w:pStyle w:val="20"/>
              <w:snapToGrid w:val="0"/>
              <w:spacing w:line="360" w:lineRule="exact"/>
              <w:jc w:val="center"/>
              <w:rPr>
                <w:rFonts w:ascii="仿宋_GB2312" w:eastAsia="仿宋_GB2312" w:cs="Times New Roman"/>
                <w:b/>
                <w:kern w:val="2"/>
              </w:rPr>
            </w:pPr>
          </w:p>
        </w:tc>
        <w:tc>
          <w:tcPr>
            <w:tcW w:w="3828" w:type="dxa"/>
            <w:noWrap w:val="0"/>
            <w:vAlign w:val="center"/>
          </w:tcPr>
          <w:p>
            <w:pPr>
              <w:spacing w:line="360" w:lineRule="exact"/>
              <w:outlineLvl w:val="1"/>
              <w:rPr>
                <w:rFonts w:hint="eastAsia" w:ascii="仿宋_GB2312" w:eastAsia="仿宋_GB2312"/>
                <w:color w:val="000000"/>
                <w:sz w:val="24"/>
                <w:szCs w:val="24"/>
              </w:rPr>
            </w:pPr>
            <w:r>
              <w:rPr>
                <w:rFonts w:hint="eastAsia" w:ascii="仿宋_GB2312" w:eastAsia="仿宋_GB2312"/>
                <w:color w:val="000000"/>
                <w:sz w:val="24"/>
                <w:szCs w:val="24"/>
              </w:rPr>
              <w:t>（7）化工园区应编制《化工园区总体规划》和《化工园区产业规划》。《化工园区总体规划》应包括安全生产和综合防灾减灾规划章节。</w:t>
            </w:r>
          </w:p>
        </w:tc>
        <w:tc>
          <w:tcPr>
            <w:tcW w:w="4520" w:type="dxa"/>
            <w:noWrap w:val="0"/>
            <w:vAlign w:val="top"/>
          </w:tcPr>
          <w:p>
            <w:pPr>
              <w:spacing w:line="360" w:lineRule="exact"/>
              <w:outlineLvl w:val="2"/>
              <w:rPr>
                <w:rFonts w:hint="eastAsia" w:ascii="仿宋_GB2312" w:hAnsi="Times New Roman" w:eastAsia="仿宋_GB2312"/>
                <w:color w:val="000000"/>
                <w:sz w:val="24"/>
                <w:szCs w:val="24"/>
              </w:rPr>
            </w:pPr>
            <w:r>
              <w:rPr>
                <w:rFonts w:hint="eastAsia" w:ascii="仿宋_GB2312" w:hAnsi="Times New Roman" w:eastAsia="仿宋_GB2312"/>
                <w:color w:val="000000"/>
                <w:sz w:val="24"/>
                <w:szCs w:val="24"/>
              </w:rPr>
              <w:t>0分-未编制《化工园区总体规划》和《化工园区产业规划》，或无</w:t>
            </w:r>
            <w:r>
              <w:rPr>
                <w:rFonts w:hint="eastAsia" w:ascii="仿宋_GB2312" w:eastAsia="仿宋_GB2312"/>
                <w:color w:val="000000"/>
                <w:sz w:val="24"/>
                <w:szCs w:val="24"/>
              </w:rPr>
              <w:t>安全生产和综合防灾减灾规划章节的；</w:t>
            </w:r>
          </w:p>
          <w:p>
            <w:pPr>
              <w:spacing w:line="360" w:lineRule="exact"/>
              <w:outlineLvl w:val="2"/>
              <w:rPr>
                <w:rFonts w:hint="eastAsia" w:ascii="仿宋_GB2312" w:hAnsi="Times New Roman" w:eastAsia="仿宋_GB2312"/>
                <w:color w:val="000000"/>
                <w:sz w:val="24"/>
                <w:szCs w:val="24"/>
              </w:rPr>
            </w:pPr>
            <w:r>
              <w:rPr>
                <w:rFonts w:hint="eastAsia" w:ascii="仿宋_GB2312" w:hAnsi="Times New Roman" w:eastAsia="仿宋_GB2312"/>
                <w:color w:val="000000"/>
                <w:sz w:val="24"/>
                <w:szCs w:val="24"/>
              </w:rPr>
              <w:t>5分-符合条件。</w:t>
            </w:r>
          </w:p>
        </w:tc>
        <w:tc>
          <w:tcPr>
            <w:tcW w:w="1148" w:type="dxa"/>
            <w:noWrap w:val="0"/>
            <w:vAlign w:val="top"/>
          </w:tcPr>
          <w:p>
            <w:pPr>
              <w:spacing w:line="360" w:lineRule="exact"/>
              <w:outlineLvl w:val="2"/>
              <w:rPr>
                <w:rFonts w:hint="eastAsia" w:ascii="仿宋_GB2312" w:hAnsi="Times New Roman"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vMerge w:val="continue"/>
            <w:noWrap w:val="0"/>
            <w:vAlign w:val="center"/>
          </w:tcPr>
          <w:p>
            <w:pPr>
              <w:snapToGrid w:val="0"/>
              <w:spacing w:line="360" w:lineRule="exact"/>
              <w:jc w:val="center"/>
              <w:rPr>
                <w:rFonts w:ascii="仿宋_GB2312" w:eastAsia="仿宋_GB2312"/>
                <w:b/>
                <w:color w:val="000000"/>
                <w:sz w:val="24"/>
                <w:szCs w:val="24"/>
              </w:rPr>
            </w:pPr>
          </w:p>
        </w:tc>
        <w:tc>
          <w:tcPr>
            <w:tcW w:w="1559" w:type="dxa"/>
            <w:vMerge w:val="continue"/>
            <w:noWrap w:val="0"/>
            <w:vAlign w:val="center"/>
          </w:tcPr>
          <w:p>
            <w:pPr>
              <w:pStyle w:val="20"/>
              <w:snapToGrid w:val="0"/>
              <w:spacing w:line="360" w:lineRule="exact"/>
              <w:jc w:val="center"/>
              <w:rPr>
                <w:rFonts w:ascii="仿宋_GB2312" w:eastAsia="仿宋_GB2312"/>
              </w:rPr>
            </w:pPr>
          </w:p>
        </w:tc>
        <w:tc>
          <w:tcPr>
            <w:tcW w:w="3828" w:type="dxa"/>
            <w:noWrap w:val="0"/>
            <w:vAlign w:val="center"/>
          </w:tcPr>
          <w:p>
            <w:pPr>
              <w:spacing w:line="360" w:lineRule="exact"/>
              <w:rPr>
                <w:rFonts w:hint="eastAsia" w:ascii="仿宋_GB2312" w:hAnsi="Times New Roman" w:eastAsia="仿宋_GB2312"/>
                <w:color w:val="000000"/>
                <w:sz w:val="24"/>
                <w:szCs w:val="24"/>
              </w:rPr>
            </w:pPr>
            <w:r>
              <w:rPr>
                <w:rFonts w:hint="eastAsia" w:ascii="仿宋_GB2312" w:hAnsi="Times New Roman" w:eastAsia="仿宋_GB2312"/>
                <w:color w:val="000000"/>
                <w:sz w:val="24"/>
                <w:szCs w:val="24"/>
              </w:rPr>
              <w:t>（8）</w:t>
            </w:r>
            <w:r>
              <w:rPr>
                <w:rFonts w:hint="eastAsia" w:ascii="仿宋_GB2312" w:eastAsia="仿宋_GB2312"/>
                <w:color w:val="000000"/>
                <w:sz w:val="24"/>
                <w:szCs w:val="24"/>
              </w:rPr>
              <w:t>化工园区管理部门应委托省级及以上安全技术机构开展化工园区整体性安全风险评估，评估化工园区安全风险，提出消除、降低或控制安全风险的对策措施。</w:t>
            </w:r>
          </w:p>
        </w:tc>
        <w:tc>
          <w:tcPr>
            <w:tcW w:w="4520" w:type="dxa"/>
            <w:noWrap w:val="0"/>
            <w:vAlign w:val="top"/>
          </w:tcPr>
          <w:p>
            <w:pPr>
              <w:spacing w:line="360" w:lineRule="exact"/>
              <w:outlineLvl w:val="2"/>
              <w:rPr>
                <w:rFonts w:hint="eastAsia" w:ascii="仿宋_GB2312" w:eastAsia="仿宋_GB2312"/>
                <w:color w:val="000000"/>
                <w:sz w:val="24"/>
                <w:szCs w:val="24"/>
              </w:rPr>
            </w:pPr>
            <w:r>
              <w:rPr>
                <w:rFonts w:hint="eastAsia" w:ascii="仿宋_GB2312" w:hAnsi="Times New Roman" w:eastAsia="仿宋_GB2312"/>
                <w:color w:val="000000"/>
                <w:sz w:val="24"/>
                <w:szCs w:val="24"/>
              </w:rPr>
              <w:t>0分</w:t>
            </w:r>
            <w:r>
              <w:rPr>
                <w:rFonts w:hint="eastAsia" w:ascii="仿宋_GB2312" w:eastAsia="仿宋_GB2312"/>
                <w:color w:val="000000"/>
                <w:sz w:val="24"/>
                <w:szCs w:val="24"/>
              </w:rPr>
              <w:t>-未按照规定要求开展化工园区整体性安全风险评估；</w:t>
            </w:r>
          </w:p>
          <w:p>
            <w:pPr>
              <w:spacing w:line="360" w:lineRule="exact"/>
              <w:outlineLvl w:val="2"/>
              <w:rPr>
                <w:rFonts w:hint="eastAsia" w:ascii="仿宋_GB2312" w:eastAsia="仿宋_GB2312"/>
                <w:color w:val="000000"/>
                <w:sz w:val="24"/>
                <w:szCs w:val="24"/>
              </w:rPr>
            </w:pPr>
            <w:r>
              <w:rPr>
                <w:rFonts w:hint="eastAsia" w:ascii="仿宋_GB2312" w:hAnsi="Times New Roman" w:eastAsia="仿宋_GB2312"/>
                <w:color w:val="000000"/>
                <w:sz w:val="24"/>
                <w:szCs w:val="24"/>
              </w:rPr>
              <w:t>5分-符合条件。</w:t>
            </w:r>
          </w:p>
        </w:tc>
        <w:tc>
          <w:tcPr>
            <w:tcW w:w="1148" w:type="dxa"/>
            <w:noWrap w:val="0"/>
            <w:vAlign w:val="top"/>
          </w:tcPr>
          <w:p>
            <w:pPr>
              <w:spacing w:line="360" w:lineRule="exact"/>
              <w:outlineLvl w:val="2"/>
              <w:rPr>
                <w:rFonts w:hint="eastAsia" w:ascii="仿宋_GB2312" w:hAnsi="Times New Roman"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vMerge w:val="continue"/>
            <w:noWrap w:val="0"/>
            <w:vAlign w:val="center"/>
          </w:tcPr>
          <w:p>
            <w:pPr>
              <w:snapToGrid w:val="0"/>
              <w:spacing w:line="360" w:lineRule="exact"/>
              <w:jc w:val="center"/>
              <w:rPr>
                <w:rFonts w:ascii="仿宋_GB2312" w:eastAsia="仿宋_GB2312"/>
                <w:b/>
                <w:color w:val="000000"/>
                <w:sz w:val="24"/>
                <w:szCs w:val="24"/>
              </w:rPr>
            </w:pPr>
          </w:p>
        </w:tc>
        <w:tc>
          <w:tcPr>
            <w:tcW w:w="1559" w:type="dxa"/>
            <w:vMerge w:val="continue"/>
            <w:noWrap w:val="0"/>
            <w:vAlign w:val="center"/>
          </w:tcPr>
          <w:p>
            <w:pPr>
              <w:pStyle w:val="20"/>
              <w:snapToGrid w:val="0"/>
              <w:spacing w:line="360" w:lineRule="exact"/>
              <w:jc w:val="center"/>
              <w:rPr>
                <w:rFonts w:ascii="仿宋_GB2312" w:eastAsia="仿宋_GB2312"/>
              </w:rPr>
            </w:pPr>
          </w:p>
        </w:tc>
        <w:tc>
          <w:tcPr>
            <w:tcW w:w="3828" w:type="dxa"/>
            <w:noWrap w:val="0"/>
            <w:vAlign w:val="center"/>
          </w:tcPr>
          <w:p>
            <w:pPr>
              <w:spacing w:line="360" w:lineRule="exact"/>
              <w:rPr>
                <w:rFonts w:hint="eastAsia" w:ascii="仿宋_GB2312" w:eastAsia="仿宋_GB2312"/>
                <w:color w:val="000000"/>
                <w:sz w:val="24"/>
                <w:szCs w:val="24"/>
              </w:rPr>
            </w:pPr>
            <w:r>
              <w:rPr>
                <w:rFonts w:hint="eastAsia" w:ascii="仿宋_GB2312" w:eastAsia="仿宋_GB2312"/>
                <w:color w:val="000000"/>
                <w:sz w:val="24"/>
                <w:szCs w:val="24"/>
              </w:rPr>
              <w:t>（9）化工园区管理部门应依据整体性安全风险评估结果和相关法规标准的要求，划定化工园区周边土地规划安全控制线，并报送化工园区所在地设区的市级和县级地方人民政府规划主管部门和应急管理部门。</w:t>
            </w:r>
          </w:p>
        </w:tc>
        <w:tc>
          <w:tcPr>
            <w:tcW w:w="4520" w:type="dxa"/>
            <w:noWrap w:val="0"/>
            <w:vAlign w:val="top"/>
          </w:tcPr>
          <w:p>
            <w:pPr>
              <w:spacing w:line="360" w:lineRule="exact"/>
              <w:outlineLvl w:val="2"/>
              <w:rPr>
                <w:rFonts w:hint="eastAsia" w:ascii="仿宋_GB2312" w:hAnsi="Times New Roman" w:eastAsia="仿宋_GB2312"/>
                <w:color w:val="000000"/>
                <w:sz w:val="24"/>
                <w:szCs w:val="24"/>
              </w:rPr>
            </w:pPr>
            <w:r>
              <w:rPr>
                <w:rFonts w:hint="eastAsia" w:ascii="仿宋_GB2312" w:hAnsi="Times New Roman" w:eastAsia="仿宋_GB2312"/>
                <w:color w:val="000000"/>
                <w:sz w:val="24"/>
                <w:szCs w:val="24"/>
              </w:rPr>
              <w:t>0分-未设置化工园区周边土地规划安全控制线；</w:t>
            </w:r>
          </w:p>
          <w:p>
            <w:pPr>
              <w:spacing w:line="360" w:lineRule="exact"/>
              <w:outlineLvl w:val="2"/>
              <w:rPr>
                <w:rFonts w:hint="eastAsia" w:ascii="仿宋_GB2312" w:hAnsi="Times New Roman" w:eastAsia="仿宋_GB2312"/>
                <w:color w:val="000000"/>
                <w:sz w:val="24"/>
                <w:szCs w:val="24"/>
              </w:rPr>
            </w:pPr>
            <w:r>
              <w:rPr>
                <w:rFonts w:hint="eastAsia" w:ascii="仿宋_GB2312" w:hAnsi="Times New Roman" w:eastAsia="仿宋_GB2312"/>
                <w:color w:val="000000"/>
                <w:sz w:val="24"/>
                <w:szCs w:val="24"/>
              </w:rPr>
              <w:t>1分-设置了化工园区周边土地规划安全控制线，但未报送；</w:t>
            </w:r>
          </w:p>
          <w:p>
            <w:pPr>
              <w:spacing w:line="360" w:lineRule="exact"/>
              <w:outlineLvl w:val="2"/>
              <w:rPr>
                <w:rFonts w:hint="eastAsia" w:ascii="仿宋_GB2312" w:hAnsi="Times New Roman" w:eastAsia="仿宋_GB2312"/>
                <w:color w:val="000000"/>
                <w:sz w:val="24"/>
                <w:szCs w:val="24"/>
              </w:rPr>
            </w:pPr>
            <w:r>
              <w:rPr>
                <w:rFonts w:hint="eastAsia" w:ascii="仿宋_GB2312" w:hAnsi="Times New Roman" w:eastAsia="仿宋_GB2312"/>
                <w:color w:val="000000"/>
                <w:sz w:val="24"/>
                <w:szCs w:val="24"/>
              </w:rPr>
              <w:t>5分-符合条件。</w:t>
            </w:r>
          </w:p>
        </w:tc>
        <w:tc>
          <w:tcPr>
            <w:tcW w:w="1148" w:type="dxa"/>
            <w:noWrap w:val="0"/>
            <w:vAlign w:val="top"/>
          </w:tcPr>
          <w:p>
            <w:pPr>
              <w:spacing w:line="360" w:lineRule="exact"/>
              <w:outlineLvl w:val="2"/>
              <w:rPr>
                <w:rFonts w:hint="eastAsia" w:ascii="仿宋_GB2312" w:hAnsi="Times New Roman"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vMerge w:val="continue"/>
            <w:noWrap w:val="0"/>
            <w:vAlign w:val="center"/>
          </w:tcPr>
          <w:p>
            <w:pPr>
              <w:snapToGrid w:val="0"/>
              <w:spacing w:line="360" w:lineRule="exact"/>
              <w:jc w:val="center"/>
              <w:rPr>
                <w:rFonts w:ascii="仿宋_GB2312" w:eastAsia="仿宋_GB2312"/>
                <w:b/>
                <w:color w:val="000000"/>
                <w:sz w:val="24"/>
                <w:szCs w:val="24"/>
              </w:rPr>
            </w:pPr>
          </w:p>
        </w:tc>
        <w:tc>
          <w:tcPr>
            <w:tcW w:w="1559" w:type="dxa"/>
            <w:vMerge w:val="continue"/>
            <w:noWrap w:val="0"/>
            <w:vAlign w:val="center"/>
          </w:tcPr>
          <w:p>
            <w:pPr>
              <w:pStyle w:val="20"/>
              <w:snapToGrid w:val="0"/>
              <w:spacing w:line="360" w:lineRule="exact"/>
              <w:jc w:val="center"/>
              <w:rPr>
                <w:rFonts w:ascii="仿宋_GB2312" w:eastAsia="仿宋_GB2312"/>
              </w:rPr>
            </w:pPr>
          </w:p>
        </w:tc>
        <w:tc>
          <w:tcPr>
            <w:tcW w:w="3828" w:type="dxa"/>
            <w:noWrap w:val="0"/>
            <w:vAlign w:val="center"/>
          </w:tcPr>
          <w:p>
            <w:pPr>
              <w:spacing w:line="360" w:lineRule="exact"/>
              <w:rPr>
                <w:rFonts w:hint="eastAsia" w:ascii="仿宋_GB2312" w:hAnsi="Times New Roman" w:eastAsia="仿宋_GB2312"/>
                <w:color w:val="000000"/>
                <w:sz w:val="24"/>
                <w:szCs w:val="24"/>
              </w:rPr>
            </w:pPr>
            <w:r>
              <w:rPr>
                <w:rFonts w:hint="eastAsia" w:ascii="仿宋_GB2312" w:hAnsi="Times New Roman" w:eastAsia="仿宋_GB2312"/>
                <w:color w:val="000000"/>
                <w:sz w:val="24"/>
                <w:szCs w:val="24"/>
              </w:rPr>
              <w:t>（10）化工园区所在地设区的市级和县级地方人民政府规划主管部门应严格控制化工园区周边土地开发利用，土地规划安全控制线范围内的开发建设项目应经过安全风险评估，满足安全风险控制要求。</w:t>
            </w:r>
          </w:p>
        </w:tc>
        <w:tc>
          <w:tcPr>
            <w:tcW w:w="4520" w:type="dxa"/>
            <w:noWrap w:val="0"/>
            <w:vAlign w:val="top"/>
          </w:tcPr>
          <w:p>
            <w:pPr>
              <w:spacing w:line="360" w:lineRule="exact"/>
              <w:outlineLvl w:val="2"/>
              <w:rPr>
                <w:rFonts w:hint="eastAsia" w:ascii="仿宋_GB2312" w:hAnsi="Times New Roman" w:eastAsia="仿宋_GB2312"/>
                <w:color w:val="000000"/>
                <w:sz w:val="24"/>
                <w:szCs w:val="24"/>
              </w:rPr>
            </w:pPr>
            <w:r>
              <w:rPr>
                <w:rFonts w:hint="eastAsia" w:ascii="仿宋_GB2312" w:hAnsi="Times New Roman" w:eastAsia="仿宋_GB2312"/>
                <w:color w:val="000000"/>
                <w:sz w:val="24"/>
                <w:szCs w:val="24"/>
              </w:rPr>
              <w:t>0分-土地规划安全控制线内的开发项目未经过安全风险评估，不满足安全风险控制要求；</w:t>
            </w:r>
          </w:p>
          <w:p>
            <w:pPr>
              <w:spacing w:line="360" w:lineRule="exact"/>
              <w:outlineLvl w:val="2"/>
              <w:rPr>
                <w:rFonts w:hint="eastAsia" w:ascii="仿宋_GB2312" w:hAnsi="Times New Roman" w:eastAsia="仿宋_GB2312"/>
                <w:color w:val="000000"/>
                <w:sz w:val="24"/>
                <w:szCs w:val="24"/>
              </w:rPr>
            </w:pPr>
            <w:r>
              <w:rPr>
                <w:rFonts w:hint="eastAsia" w:ascii="仿宋_GB2312" w:hAnsi="Times New Roman" w:eastAsia="仿宋_GB2312"/>
                <w:color w:val="000000"/>
                <w:sz w:val="24"/>
                <w:szCs w:val="24"/>
              </w:rPr>
              <w:t>5分-符合条件。</w:t>
            </w:r>
          </w:p>
        </w:tc>
        <w:tc>
          <w:tcPr>
            <w:tcW w:w="1148" w:type="dxa"/>
            <w:noWrap w:val="0"/>
            <w:vAlign w:val="top"/>
          </w:tcPr>
          <w:p>
            <w:pPr>
              <w:spacing w:line="360" w:lineRule="exact"/>
              <w:outlineLvl w:val="2"/>
              <w:rPr>
                <w:rFonts w:hint="eastAsia" w:ascii="仿宋_GB2312" w:hAnsi="Times New Roman"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vMerge w:val="restart"/>
            <w:noWrap w:val="0"/>
            <w:vAlign w:val="center"/>
          </w:tcPr>
          <w:p>
            <w:pPr>
              <w:snapToGrid w:val="0"/>
              <w:spacing w:line="360" w:lineRule="exact"/>
              <w:jc w:val="center"/>
              <w:rPr>
                <w:rFonts w:ascii="仿宋_GB2312" w:eastAsia="仿宋_GB2312"/>
                <w:b/>
                <w:color w:val="000000"/>
                <w:sz w:val="24"/>
                <w:szCs w:val="24"/>
              </w:rPr>
            </w:pPr>
            <w:r>
              <w:rPr>
                <w:rFonts w:hint="eastAsia" w:ascii="仿宋_GB2312" w:eastAsia="仿宋_GB2312"/>
                <w:b/>
                <w:color w:val="000000"/>
                <w:sz w:val="24"/>
                <w:szCs w:val="24"/>
              </w:rPr>
              <w:t>3</w:t>
            </w:r>
          </w:p>
        </w:tc>
        <w:tc>
          <w:tcPr>
            <w:tcW w:w="1559" w:type="dxa"/>
            <w:vMerge w:val="restart"/>
            <w:noWrap w:val="0"/>
            <w:vAlign w:val="center"/>
          </w:tcPr>
          <w:p>
            <w:pPr>
              <w:pStyle w:val="20"/>
              <w:snapToGrid w:val="0"/>
              <w:spacing w:line="360" w:lineRule="exact"/>
              <w:jc w:val="center"/>
              <w:rPr>
                <w:rFonts w:ascii="仿宋_GB2312" w:eastAsia="仿宋_GB2312"/>
                <w:b/>
              </w:rPr>
            </w:pPr>
            <w:r>
              <w:rPr>
                <w:rFonts w:hint="eastAsia" w:ascii="仿宋_GB2312" w:eastAsia="仿宋_GB2312"/>
                <w:b/>
              </w:rPr>
              <w:t>布局</w:t>
            </w:r>
          </w:p>
          <w:p>
            <w:pPr>
              <w:pStyle w:val="20"/>
              <w:snapToGrid w:val="0"/>
              <w:spacing w:line="360" w:lineRule="exact"/>
              <w:jc w:val="center"/>
              <w:rPr>
                <w:rFonts w:ascii="仿宋_GB2312" w:eastAsia="仿宋_GB2312"/>
                <w:b/>
              </w:rPr>
            </w:pPr>
            <w:r>
              <w:rPr>
                <w:rFonts w:hint="eastAsia" w:ascii="仿宋_GB2312" w:eastAsia="仿宋_GB2312"/>
                <w:b/>
              </w:rPr>
              <w:t>（20分）</w:t>
            </w:r>
          </w:p>
        </w:tc>
        <w:tc>
          <w:tcPr>
            <w:tcW w:w="3828" w:type="dxa"/>
            <w:noWrap w:val="0"/>
            <w:vAlign w:val="center"/>
          </w:tcPr>
          <w:p>
            <w:pPr>
              <w:spacing w:line="360" w:lineRule="exact"/>
              <w:outlineLvl w:val="2"/>
              <w:rPr>
                <w:rFonts w:hint="eastAsia" w:ascii="仿宋_GB2312" w:hAnsi="Times New Roman" w:eastAsia="仿宋_GB2312"/>
                <w:color w:val="000000"/>
                <w:sz w:val="24"/>
                <w:szCs w:val="24"/>
              </w:rPr>
            </w:pPr>
            <w:r>
              <w:rPr>
                <w:rFonts w:hint="eastAsia" w:ascii="仿宋_GB2312" w:hAnsi="Times New Roman" w:eastAsia="仿宋_GB2312"/>
                <w:color w:val="000000"/>
                <w:sz w:val="24"/>
                <w:szCs w:val="24"/>
              </w:rPr>
              <w:t>（11）化工园区应综合考虑主导风向、地势高低落差、企业装置之间的相互影响、产品类别、生产工艺、物料互供、公用设施保障、应急救援等因素，合理布置功能分区。劳动力密集型的非化工企业不得与化工企业混建。</w:t>
            </w:r>
          </w:p>
        </w:tc>
        <w:tc>
          <w:tcPr>
            <w:tcW w:w="4520" w:type="dxa"/>
            <w:noWrap w:val="0"/>
            <w:vAlign w:val="top"/>
          </w:tcPr>
          <w:p>
            <w:pPr>
              <w:spacing w:line="360" w:lineRule="exact"/>
              <w:outlineLvl w:val="2"/>
              <w:rPr>
                <w:rFonts w:hint="eastAsia" w:ascii="仿宋_GB2312" w:eastAsia="仿宋_GB2312"/>
                <w:color w:val="000000"/>
                <w:sz w:val="24"/>
                <w:szCs w:val="24"/>
              </w:rPr>
            </w:pPr>
            <w:r>
              <w:rPr>
                <w:rFonts w:hint="eastAsia" w:ascii="仿宋_GB2312" w:hAnsi="Times New Roman" w:eastAsia="仿宋_GB2312"/>
                <w:color w:val="000000"/>
                <w:sz w:val="24"/>
                <w:szCs w:val="24"/>
              </w:rPr>
              <w:t>0分</w:t>
            </w:r>
            <w:r>
              <w:rPr>
                <w:rFonts w:hint="eastAsia" w:ascii="仿宋_GB2312" w:eastAsia="仿宋_GB2312"/>
                <w:color w:val="000000"/>
                <w:sz w:val="24"/>
                <w:szCs w:val="24"/>
              </w:rPr>
              <w:t>-</w:t>
            </w:r>
            <w:r>
              <w:rPr>
                <w:rFonts w:hint="eastAsia" w:ascii="仿宋_GB2312" w:hAnsi="Times New Roman" w:eastAsia="仿宋_GB2312"/>
                <w:color w:val="000000"/>
                <w:sz w:val="24"/>
                <w:szCs w:val="24"/>
              </w:rPr>
              <w:t>劳动力密集型的非化工企业与化工企业混建</w:t>
            </w:r>
            <w:r>
              <w:rPr>
                <w:rFonts w:hint="eastAsia" w:ascii="仿宋_GB2312" w:eastAsia="仿宋_GB2312"/>
                <w:color w:val="000000"/>
                <w:sz w:val="24"/>
                <w:szCs w:val="24"/>
              </w:rPr>
              <w:t>；</w:t>
            </w:r>
          </w:p>
          <w:p>
            <w:pPr>
              <w:spacing w:line="360" w:lineRule="exact"/>
              <w:outlineLvl w:val="2"/>
              <w:rPr>
                <w:rFonts w:hint="eastAsia" w:ascii="仿宋_GB2312" w:eastAsia="仿宋_GB2312"/>
                <w:color w:val="000000"/>
                <w:sz w:val="24"/>
                <w:szCs w:val="24"/>
              </w:rPr>
            </w:pPr>
            <w:r>
              <w:rPr>
                <w:rFonts w:hint="eastAsia" w:ascii="仿宋_GB2312" w:hAnsi="Times New Roman" w:eastAsia="仿宋_GB2312"/>
                <w:color w:val="000000"/>
                <w:sz w:val="24"/>
                <w:szCs w:val="24"/>
              </w:rPr>
              <w:t>1</w:t>
            </w:r>
            <w:r>
              <w:rPr>
                <w:rFonts w:hint="eastAsia" w:ascii="仿宋_GB2312" w:eastAsia="仿宋_GB2312"/>
                <w:color w:val="000000"/>
                <w:sz w:val="24"/>
                <w:szCs w:val="24"/>
              </w:rPr>
              <w:t>分</w:t>
            </w:r>
            <w:r>
              <w:rPr>
                <w:rFonts w:hint="eastAsia" w:ascii="仿宋_GB2312" w:hAnsi="Times New Roman" w:eastAsia="仿宋_GB2312"/>
                <w:color w:val="000000"/>
                <w:sz w:val="24"/>
                <w:szCs w:val="24"/>
              </w:rPr>
              <w:t>-功能分区未严格执行国家相关标准，功能分区不合理</w:t>
            </w:r>
            <w:r>
              <w:rPr>
                <w:rFonts w:hint="eastAsia" w:ascii="仿宋_GB2312" w:eastAsia="仿宋_GB2312"/>
                <w:color w:val="000000"/>
                <w:sz w:val="24"/>
                <w:szCs w:val="24"/>
              </w:rPr>
              <w:t>；</w:t>
            </w:r>
          </w:p>
          <w:p>
            <w:pPr>
              <w:spacing w:line="360" w:lineRule="exact"/>
              <w:outlineLvl w:val="2"/>
              <w:rPr>
                <w:rFonts w:hint="eastAsia" w:ascii="仿宋_GB2312" w:hAnsi="Times New Roman" w:eastAsia="仿宋_GB2312"/>
                <w:color w:val="000000"/>
                <w:sz w:val="24"/>
                <w:szCs w:val="24"/>
              </w:rPr>
            </w:pPr>
            <w:r>
              <w:rPr>
                <w:rFonts w:hint="eastAsia" w:ascii="仿宋_GB2312" w:hAnsi="Times New Roman" w:eastAsia="仿宋_GB2312"/>
                <w:color w:val="000000"/>
                <w:sz w:val="24"/>
                <w:szCs w:val="24"/>
              </w:rPr>
              <w:t>5分-符合条件。</w:t>
            </w:r>
          </w:p>
        </w:tc>
        <w:tc>
          <w:tcPr>
            <w:tcW w:w="1148" w:type="dxa"/>
            <w:noWrap w:val="0"/>
            <w:vAlign w:val="top"/>
          </w:tcPr>
          <w:p>
            <w:pPr>
              <w:spacing w:line="360" w:lineRule="exact"/>
              <w:outlineLvl w:val="2"/>
              <w:rPr>
                <w:rFonts w:hint="eastAsia" w:ascii="仿宋_GB2312" w:hAnsi="Times New Roman"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vMerge w:val="continue"/>
            <w:noWrap w:val="0"/>
            <w:vAlign w:val="center"/>
          </w:tcPr>
          <w:p>
            <w:pPr>
              <w:snapToGrid w:val="0"/>
              <w:spacing w:line="360" w:lineRule="exact"/>
              <w:jc w:val="center"/>
              <w:rPr>
                <w:rFonts w:ascii="仿宋_GB2312" w:eastAsia="仿宋_GB2312"/>
                <w:b/>
                <w:color w:val="000000"/>
                <w:sz w:val="24"/>
                <w:szCs w:val="24"/>
              </w:rPr>
            </w:pPr>
          </w:p>
        </w:tc>
        <w:tc>
          <w:tcPr>
            <w:tcW w:w="1559" w:type="dxa"/>
            <w:vMerge w:val="continue"/>
            <w:noWrap w:val="0"/>
            <w:vAlign w:val="center"/>
          </w:tcPr>
          <w:p>
            <w:pPr>
              <w:pStyle w:val="20"/>
              <w:snapToGrid w:val="0"/>
              <w:spacing w:line="360" w:lineRule="exact"/>
              <w:jc w:val="center"/>
              <w:rPr>
                <w:rFonts w:ascii="仿宋_GB2312" w:eastAsia="仿宋_GB2312"/>
              </w:rPr>
            </w:pPr>
          </w:p>
        </w:tc>
        <w:tc>
          <w:tcPr>
            <w:tcW w:w="3828" w:type="dxa"/>
            <w:noWrap w:val="0"/>
            <w:vAlign w:val="center"/>
          </w:tcPr>
          <w:p>
            <w:pPr>
              <w:spacing w:line="360" w:lineRule="exact"/>
              <w:outlineLvl w:val="2"/>
              <w:rPr>
                <w:rFonts w:hint="eastAsia" w:ascii="仿宋_GB2312" w:hAnsi="Times New Roman" w:eastAsia="仿宋_GB2312"/>
                <w:color w:val="000000"/>
                <w:sz w:val="24"/>
                <w:szCs w:val="24"/>
              </w:rPr>
            </w:pPr>
            <w:r>
              <w:rPr>
                <w:rFonts w:hint="eastAsia" w:ascii="仿宋_GB2312" w:hAnsi="Times New Roman" w:eastAsia="仿宋_GB2312"/>
                <w:color w:val="000000"/>
                <w:sz w:val="24"/>
                <w:szCs w:val="24"/>
              </w:rPr>
              <w:t>（12）化工园区行政办公、生活服务区等人员集中场所与生产功能区应相互分离，布置在化工园区边缘或化工园区外；消防站、应急响应中心、医疗救护站等重要设施的布置应有利于应急救援的快速响应需要，并与涉及爆炸物、毒性气体、液化易燃气体的装置或设施保持足够的安全距离。</w:t>
            </w:r>
          </w:p>
        </w:tc>
        <w:tc>
          <w:tcPr>
            <w:tcW w:w="4520" w:type="dxa"/>
            <w:noWrap w:val="0"/>
            <w:vAlign w:val="top"/>
          </w:tcPr>
          <w:p>
            <w:pPr>
              <w:spacing w:line="360" w:lineRule="exact"/>
              <w:outlineLvl w:val="2"/>
              <w:rPr>
                <w:rFonts w:hint="eastAsia" w:ascii="仿宋_GB2312" w:eastAsia="仿宋_GB2312"/>
                <w:color w:val="000000"/>
                <w:sz w:val="24"/>
                <w:szCs w:val="24"/>
              </w:rPr>
            </w:pPr>
            <w:r>
              <w:rPr>
                <w:rFonts w:hint="eastAsia" w:ascii="仿宋_GB2312" w:hAnsi="Times New Roman" w:eastAsia="仿宋_GB2312"/>
                <w:color w:val="000000"/>
                <w:sz w:val="24"/>
                <w:szCs w:val="24"/>
              </w:rPr>
              <w:t>0分</w:t>
            </w:r>
            <w:r>
              <w:rPr>
                <w:rFonts w:hint="eastAsia" w:ascii="仿宋_GB2312" w:eastAsia="仿宋_GB2312"/>
                <w:color w:val="000000"/>
                <w:sz w:val="24"/>
                <w:szCs w:val="24"/>
              </w:rPr>
              <w:t>-</w:t>
            </w:r>
            <w:r>
              <w:rPr>
                <w:rFonts w:hint="eastAsia" w:ascii="仿宋_GB2312" w:hAnsi="Times New Roman" w:eastAsia="仿宋_GB2312"/>
                <w:color w:val="000000"/>
                <w:sz w:val="24"/>
                <w:szCs w:val="24"/>
              </w:rPr>
              <w:t>行政办公、生活服务区等人员集中场所与生产功能区未相互分离</w:t>
            </w:r>
            <w:r>
              <w:rPr>
                <w:rFonts w:hint="eastAsia" w:ascii="仿宋_GB2312" w:eastAsia="仿宋_GB2312"/>
                <w:color w:val="000000"/>
                <w:sz w:val="24"/>
                <w:szCs w:val="24"/>
              </w:rPr>
              <w:t>，</w:t>
            </w:r>
            <w:r>
              <w:rPr>
                <w:rFonts w:hint="eastAsia" w:ascii="仿宋_GB2312" w:hAnsi="Times New Roman" w:eastAsia="仿宋_GB2312"/>
                <w:color w:val="000000"/>
                <w:sz w:val="24"/>
                <w:szCs w:val="24"/>
              </w:rPr>
              <w:t>或消防站、应急响应中心、医疗救护站等重要设施的布置不能满足应急救援的快速响应需要；</w:t>
            </w:r>
          </w:p>
          <w:p>
            <w:pPr>
              <w:spacing w:line="360" w:lineRule="exact"/>
              <w:outlineLvl w:val="2"/>
              <w:rPr>
                <w:rFonts w:hint="eastAsia" w:ascii="仿宋_GB2312" w:eastAsia="仿宋_GB2312"/>
                <w:color w:val="000000"/>
                <w:sz w:val="24"/>
                <w:szCs w:val="24"/>
              </w:rPr>
            </w:pPr>
            <w:r>
              <w:rPr>
                <w:rFonts w:hint="eastAsia" w:ascii="仿宋_GB2312" w:hAnsi="Times New Roman" w:eastAsia="仿宋_GB2312"/>
                <w:color w:val="000000"/>
                <w:sz w:val="24"/>
                <w:szCs w:val="24"/>
              </w:rPr>
              <w:t>1分</w:t>
            </w:r>
            <w:r>
              <w:rPr>
                <w:rFonts w:hint="eastAsia" w:ascii="仿宋_GB2312" w:eastAsia="仿宋_GB2312"/>
                <w:color w:val="000000"/>
                <w:sz w:val="24"/>
                <w:szCs w:val="24"/>
              </w:rPr>
              <w:t>-</w:t>
            </w:r>
            <w:r>
              <w:rPr>
                <w:rFonts w:hint="eastAsia" w:ascii="仿宋_GB2312" w:hAnsi="Times New Roman" w:eastAsia="仿宋_GB2312"/>
                <w:color w:val="000000"/>
                <w:sz w:val="24"/>
                <w:szCs w:val="24"/>
              </w:rPr>
              <w:t>行政办公、生活服务区等人员集中场所与生产功能区相互分离，但未布置在化工园区边缘或化工园区外；或消防站、应急响应中心、医疗救护站等重要设施的布置满足应急救援的快速响应需要，但受涉及爆炸物、毒性气体、液化易燃气体的装置或设施影响，未采取有效防护措施</w:t>
            </w:r>
            <w:r>
              <w:rPr>
                <w:rFonts w:hint="eastAsia" w:ascii="仿宋_GB2312" w:eastAsia="仿宋_GB2312"/>
                <w:color w:val="000000"/>
                <w:sz w:val="24"/>
                <w:szCs w:val="24"/>
              </w:rPr>
              <w:t>；</w:t>
            </w:r>
          </w:p>
          <w:p>
            <w:pPr>
              <w:spacing w:line="360" w:lineRule="exact"/>
              <w:outlineLvl w:val="2"/>
              <w:rPr>
                <w:rFonts w:hint="eastAsia" w:ascii="仿宋_GB2312" w:eastAsia="仿宋_GB2312"/>
                <w:color w:val="000000"/>
                <w:sz w:val="24"/>
                <w:szCs w:val="24"/>
              </w:rPr>
            </w:pPr>
            <w:r>
              <w:rPr>
                <w:rFonts w:hint="eastAsia" w:ascii="仿宋_GB2312" w:hAnsi="Times New Roman" w:eastAsia="仿宋_GB2312"/>
                <w:color w:val="000000"/>
                <w:sz w:val="24"/>
                <w:szCs w:val="24"/>
              </w:rPr>
              <w:t>3分</w:t>
            </w:r>
            <w:r>
              <w:rPr>
                <w:rFonts w:hint="eastAsia" w:ascii="仿宋_GB2312" w:eastAsia="仿宋_GB2312"/>
                <w:color w:val="000000"/>
                <w:sz w:val="24"/>
                <w:szCs w:val="24"/>
              </w:rPr>
              <w:t>-</w:t>
            </w:r>
            <w:r>
              <w:rPr>
                <w:rFonts w:hint="eastAsia" w:ascii="仿宋_GB2312" w:hAnsi="Times New Roman" w:eastAsia="仿宋_GB2312"/>
                <w:color w:val="000000"/>
                <w:sz w:val="24"/>
                <w:szCs w:val="24"/>
              </w:rPr>
              <w:t>消防站、应急响应中心、医疗救护站等重要设施的布置满足应急救援的快速响应需要，但受涉及爆炸物、毒性气体、液化易燃气体的装置或设施影响，采取了有效防护措施；</w:t>
            </w:r>
          </w:p>
          <w:p>
            <w:pPr>
              <w:spacing w:line="360" w:lineRule="exact"/>
              <w:outlineLvl w:val="2"/>
              <w:rPr>
                <w:rFonts w:hint="eastAsia" w:ascii="仿宋_GB2312" w:hAnsi="Times New Roman" w:eastAsia="仿宋_GB2312"/>
                <w:color w:val="000000"/>
                <w:sz w:val="24"/>
                <w:szCs w:val="24"/>
              </w:rPr>
            </w:pPr>
            <w:r>
              <w:rPr>
                <w:rFonts w:hint="eastAsia" w:ascii="仿宋_GB2312" w:hAnsi="Times New Roman" w:eastAsia="仿宋_GB2312"/>
                <w:color w:val="000000"/>
                <w:sz w:val="24"/>
                <w:szCs w:val="24"/>
              </w:rPr>
              <w:t>5分-符合条件。</w:t>
            </w:r>
          </w:p>
        </w:tc>
        <w:tc>
          <w:tcPr>
            <w:tcW w:w="1148" w:type="dxa"/>
            <w:noWrap w:val="0"/>
            <w:vAlign w:val="top"/>
          </w:tcPr>
          <w:p>
            <w:pPr>
              <w:spacing w:line="360" w:lineRule="exact"/>
              <w:outlineLvl w:val="2"/>
              <w:rPr>
                <w:rFonts w:hint="eastAsia" w:ascii="仿宋_GB2312" w:hAnsi="Times New Roman"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vMerge w:val="continue"/>
            <w:noWrap w:val="0"/>
            <w:vAlign w:val="center"/>
          </w:tcPr>
          <w:p>
            <w:pPr>
              <w:snapToGrid w:val="0"/>
              <w:spacing w:line="360" w:lineRule="exact"/>
              <w:jc w:val="center"/>
              <w:rPr>
                <w:rFonts w:ascii="仿宋_GB2312" w:eastAsia="仿宋_GB2312"/>
                <w:b/>
                <w:color w:val="000000"/>
                <w:sz w:val="24"/>
                <w:szCs w:val="24"/>
              </w:rPr>
            </w:pPr>
          </w:p>
        </w:tc>
        <w:tc>
          <w:tcPr>
            <w:tcW w:w="1559" w:type="dxa"/>
            <w:vMerge w:val="continue"/>
            <w:noWrap w:val="0"/>
            <w:vAlign w:val="center"/>
          </w:tcPr>
          <w:p>
            <w:pPr>
              <w:pStyle w:val="20"/>
              <w:snapToGrid w:val="0"/>
              <w:spacing w:line="360" w:lineRule="exact"/>
              <w:jc w:val="center"/>
              <w:rPr>
                <w:rFonts w:ascii="仿宋_GB2312" w:eastAsia="仿宋_GB2312"/>
              </w:rPr>
            </w:pPr>
          </w:p>
        </w:tc>
        <w:tc>
          <w:tcPr>
            <w:tcW w:w="3828" w:type="dxa"/>
            <w:noWrap w:val="0"/>
            <w:vAlign w:val="center"/>
          </w:tcPr>
          <w:p>
            <w:pPr>
              <w:spacing w:line="360" w:lineRule="exact"/>
              <w:outlineLvl w:val="2"/>
              <w:rPr>
                <w:rFonts w:hint="eastAsia" w:ascii="仿宋_GB2312" w:hAnsi="Times New Roman" w:eastAsia="仿宋_GB2312"/>
                <w:color w:val="000000"/>
                <w:sz w:val="24"/>
                <w:szCs w:val="24"/>
              </w:rPr>
            </w:pPr>
            <w:r>
              <w:rPr>
                <w:rFonts w:hint="eastAsia" w:ascii="仿宋_GB2312" w:hAnsi="Times New Roman" w:eastAsia="仿宋_GB2312"/>
                <w:color w:val="000000"/>
                <w:sz w:val="24"/>
                <w:szCs w:val="24"/>
              </w:rPr>
              <w:t>（13）化工园区整体性安全风险评估应结合国家有关法律法规和标准规范要求，评估化工园区布局的安全性和合理性，对多米诺效应进行分析，提出安全风险防范措施，降低区域安全风险，避免多米诺效应发生。</w:t>
            </w:r>
          </w:p>
        </w:tc>
        <w:tc>
          <w:tcPr>
            <w:tcW w:w="4520" w:type="dxa"/>
            <w:noWrap w:val="0"/>
            <w:vAlign w:val="top"/>
          </w:tcPr>
          <w:p>
            <w:pPr>
              <w:spacing w:line="360" w:lineRule="exact"/>
              <w:outlineLvl w:val="2"/>
              <w:rPr>
                <w:rFonts w:hint="eastAsia" w:ascii="仿宋_GB2312" w:eastAsia="仿宋_GB2312"/>
                <w:color w:val="000000"/>
                <w:sz w:val="24"/>
                <w:szCs w:val="24"/>
              </w:rPr>
            </w:pPr>
            <w:r>
              <w:rPr>
                <w:rFonts w:hint="eastAsia" w:ascii="仿宋_GB2312" w:hAnsi="Times New Roman" w:eastAsia="仿宋_GB2312"/>
                <w:color w:val="000000"/>
                <w:sz w:val="24"/>
                <w:szCs w:val="24"/>
              </w:rPr>
              <w:t>0分</w:t>
            </w:r>
            <w:r>
              <w:rPr>
                <w:rFonts w:hint="eastAsia" w:ascii="仿宋_GB2312" w:eastAsia="仿宋_GB2312"/>
                <w:color w:val="000000"/>
                <w:sz w:val="24"/>
                <w:szCs w:val="24"/>
              </w:rPr>
              <w:t>-未进行</w:t>
            </w:r>
            <w:r>
              <w:rPr>
                <w:rFonts w:hint="eastAsia" w:ascii="仿宋_GB2312" w:hAnsi="Times New Roman" w:eastAsia="仿宋_GB2312"/>
                <w:color w:val="000000"/>
                <w:sz w:val="24"/>
                <w:szCs w:val="24"/>
              </w:rPr>
              <w:t>多米诺效应分析</w:t>
            </w:r>
            <w:r>
              <w:rPr>
                <w:rFonts w:hint="eastAsia" w:ascii="仿宋_GB2312" w:eastAsia="仿宋_GB2312"/>
                <w:color w:val="000000"/>
                <w:sz w:val="24"/>
                <w:szCs w:val="24"/>
              </w:rPr>
              <w:t>；</w:t>
            </w:r>
          </w:p>
          <w:p>
            <w:pPr>
              <w:spacing w:line="360" w:lineRule="exact"/>
              <w:outlineLvl w:val="2"/>
              <w:rPr>
                <w:rFonts w:hint="eastAsia" w:ascii="仿宋_GB2312" w:hAnsi="Times New Roman" w:eastAsia="仿宋_GB2312"/>
                <w:color w:val="000000"/>
                <w:sz w:val="24"/>
                <w:szCs w:val="24"/>
              </w:rPr>
            </w:pPr>
            <w:r>
              <w:rPr>
                <w:rFonts w:hint="eastAsia" w:ascii="仿宋_GB2312" w:hAnsi="Times New Roman" w:eastAsia="仿宋_GB2312"/>
                <w:color w:val="000000"/>
                <w:sz w:val="24"/>
                <w:szCs w:val="24"/>
              </w:rPr>
              <w:t>1</w:t>
            </w:r>
            <w:r>
              <w:rPr>
                <w:rFonts w:hint="eastAsia" w:ascii="仿宋_GB2312" w:eastAsia="仿宋_GB2312"/>
                <w:color w:val="000000"/>
                <w:sz w:val="24"/>
                <w:szCs w:val="24"/>
              </w:rPr>
              <w:t>分</w:t>
            </w:r>
            <w:r>
              <w:rPr>
                <w:rFonts w:hint="eastAsia" w:ascii="仿宋_GB2312" w:hAnsi="Times New Roman" w:eastAsia="仿宋_GB2312"/>
                <w:color w:val="000000"/>
                <w:sz w:val="24"/>
                <w:szCs w:val="24"/>
              </w:rPr>
              <w:t>-</w:t>
            </w:r>
            <w:r>
              <w:rPr>
                <w:rFonts w:hint="eastAsia" w:ascii="仿宋_GB2312" w:eastAsia="仿宋_GB2312"/>
                <w:color w:val="000000"/>
                <w:sz w:val="24"/>
                <w:szCs w:val="24"/>
              </w:rPr>
              <w:t>进行了</w:t>
            </w:r>
            <w:r>
              <w:rPr>
                <w:rFonts w:hint="eastAsia" w:ascii="仿宋_GB2312" w:hAnsi="Times New Roman" w:eastAsia="仿宋_GB2312"/>
                <w:color w:val="000000"/>
                <w:sz w:val="24"/>
                <w:szCs w:val="24"/>
              </w:rPr>
              <w:t>多米诺效应分析，但未对化工园区布局的安全性和合理性提出意见，未提出安全风险防范措施；</w:t>
            </w:r>
          </w:p>
          <w:p>
            <w:pPr>
              <w:spacing w:line="360" w:lineRule="exact"/>
              <w:outlineLvl w:val="2"/>
              <w:rPr>
                <w:rFonts w:hint="eastAsia" w:ascii="仿宋_GB2312" w:hAnsi="Times New Roman" w:eastAsia="仿宋_GB2312"/>
                <w:color w:val="000000"/>
                <w:sz w:val="24"/>
                <w:szCs w:val="24"/>
              </w:rPr>
            </w:pPr>
            <w:r>
              <w:rPr>
                <w:rFonts w:hint="eastAsia" w:ascii="仿宋_GB2312" w:hAnsi="Times New Roman" w:eastAsia="仿宋_GB2312"/>
                <w:color w:val="000000"/>
                <w:sz w:val="24"/>
                <w:szCs w:val="24"/>
              </w:rPr>
              <w:t>5分-符合条件。</w:t>
            </w:r>
          </w:p>
        </w:tc>
        <w:tc>
          <w:tcPr>
            <w:tcW w:w="1148" w:type="dxa"/>
            <w:noWrap w:val="0"/>
            <w:vAlign w:val="top"/>
          </w:tcPr>
          <w:p>
            <w:pPr>
              <w:spacing w:line="360" w:lineRule="exact"/>
              <w:outlineLvl w:val="2"/>
              <w:rPr>
                <w:rFonts w:hint="eastAsia" w:ascii="仿宋_GB2312" w:hAnsi="Times New Roman"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vMerge w:val="continue"/>
            <w:noWrap w:val="0"/>
            <w:vAlign w:val="center"/>
          </w:tcPr>
          <w:p>
            <w:pPr>
              <w:snapToGrid w:val="0"/>
              <w:spacing w:line="360" w:lineRule="exact"/>
              <w:jc w:val="center"/>
              <w:rPr>
                <w:rFonts w:ascii="仿宋_GB2312" w:eastAsia="仿宋_GB2312"/>
                <w:b/>
                <w:color w:val="000000"/>
                <w:sz w:val="24"/>
                <w:szCs w:val="24"/>
              </w:rPr>
            </w:pPr>
          </w:p>
        </w:tc>
        <w:tc>
          <w:tcPr>
            <w:tcW w:w="1559" w:type="dxa"/>
            <w:vMerge w:val="continue"/>
            <w:noWrap w:val="0"/>
            <w:vAlign w:val="center"/>
          </w:tcPr>
          <w:p>
            <w:pPr>
              <w:pStyle w:val="20"/>
              <w:snapToGrid w:val="0"/>
              <w:spacing w:line="360" w:lineRule="exact"/>
              <w:jc w:val="center"/>
              <w:rPr>
                <w:rFonts w:ascii="仿宋_GB2312" w:eastAsia="仿宋_GB2312"/>
              </w:rPr>
            </w:pPr>
          </w:p>
        </w:tc>
        <w:tc>
          <w:tcPr>
            <w:tcW w:w="3828" w:type="dxa"/>
            <w:noWrap w:val="0"/>
            <w:vAlign w:val="center"/>
          </w:tcPr>
          <w:p>
            <w:pPr>
              <w:spacing w:line="360" w:lineRule="exact"/>
              <w:outlineLvl w:val="2"/>
              <w:rPr>
                <w:rFonts w:hint="eastAsia" w:ascii="仿宋_GB2312" w:hAnsi="Times New Roman" w:eastAsia="仿宋_GB2312"/>
                <w:color w:val="000000"/>
                <w:sz w:val="24"/>
                <w:szCs w:val="24"/>
              </w:rPr>
            </w:pPr>
            <w:r>
              <w:rPr>
                <w:rFonts w:hint="eastAsia" w:ascii="仿宋_GB2312" w:hAnsi="Times New Roman" w:eastAsia="仿宋_GB2312"/>
                <w:color w:val="000000"/>
                <w:sz w:val="24"/>
                <w:szCs w:val="24"/>
              </w:rPr>
              <w:t>（14）在安全条件审查时，危险化学品建设项目单位提交的安全评价报告应对危险化学品建设项目与周边企业的相互影响进行多米诺效应分析，优化平面布局，将多米诺效应的影响降到最低。</w:t>
            </w:r>
          </w:p>
        </w:tc>
        <w:tc>
          <w:tcPr>
            <w:tcW w:w="4520" w:type="dxa"/>
            <w:noWrap w:val="0"/>
            <w:vAlign w:val="top"/>
          </w:tcPr>
          <w:p>
            <w:pPr>
              <w:spacing w:line="360" w:lineRule="exact"/>
              <w:outlineLvl w:val="2"/>
              <w:rPr>
                <w:rFonts w:hint="eastAsia" w:ascii="仿宋_GB2312" w:eastAsia="仿宋_GB2312"/>
                <w:color w:val="000000"/>
                <w:sz w:val="24"/>
                <w:szCs w:val="24"/>
              </w:rPr>
            </w:pPr>
            <w:r>
              <w:rPr>
                <w:rFonts w:hint="eastAsia" w:ascii="仿宋_GB2312" w:hAnsi="Times New Roman" w:eastAsia="仿宋_GB2312"/>
                <w:color w:val="000000"/>
                <w:sz w:val="24"/>
                <w:szCs w:val="24"/>
              </w:rPr>
              <w:t>0分</w:t>
            </w:r>
            <w:r>
              <w:rPr>
                <w:rFonts w:hint="eastAsia" w:ascii="仿宋_GB2312" w:eastAsia="仿宋_GB2312"/>
                <w:color w:val="000000"/>
                <w:sz w:val="24"/>
                <w:szCs w:val="24"/>
              </w:rPr>
              <w:t>-危险化学品</w:t>
            </w:r>
            <w:r>
              <w:rPr>
                <w:rFonts w:hint="eastAsia" w:ascii="仿宋_GB2312" w:hAnsi="Times New Roman" w:eastAsia="仿宋_GB2312"/>
                <w:color w:val="000000"/>
                <w:sz w:val="24"/>
                <w:szCs w:val="24"/>
              </w:rPr>
              <w:t>建设项目安全评价报告未进行多米诺效应分析</w:t>
            </w:r>
            <w:r>
              <w:rPr>
                <w:rFonts w:hint="eastAsia" w:ascii="仿宋_GB2312" w:eastAsia="仿宋_GB2312"/>
                <w:color w:val="000000"/>
                <w:sz w:val="24"/>
                <w:szCs w:val="24"/>
              </w:rPr>
              <w:t>；</w:t>
            </w:r>
          </w:p>
          <w:p>
            <w:pPr>
              <w:spacing w:line="360" w:lineRule="exact"/>
              <w:outlineLvl w:val="2"/>
              <w:rPr>
                <w:rFonts w:hint="eastAsia" w:ascii="仿宋_GB2312" w:hAnsi="Times New Roman" w:eastAsia="仿宋_GB2312"/>
                <w:color w:val="000000"/>
                <w:sz w:val="24"/>
                <w:szCs w:val="24"/>
              </w:rPr>
            </w:pPr>
            <w:r>
              <w:rPr>
                <w:rFonts w:hint="eastAsia" w:ascii="仿宋_GB2312" w:hAnsi="Times New Roman" w:eastAsia="仿宋_GB2312"/>
                <w:color w:val="000000"/>
                <w:sz w:val="24"/>
                <w:szCs w:val="24"/>
              </w:rPr>
              <w:t>1分</w:t>
            </w:r>
            <w:r>
              <w:rPr>
                <w:rFonts w:hint="eastAsia" w:ascii="仿宋_GB2312" w:eastAsia="仿宋_GB2312"/>
                <w:color w:val="000000"/>
                <w:sz w:val="24"/>
                <w:szCs w:val="24"/>
              </w:rPr>
              <w:t>-危险化学品</w:t>
            </w:r>
            <w:r>
              <w:rPr>
                <w:rFonts w:hint="eastAsia" w:ascii="仿宋_GB2312" w:hAnsi="Times New Roman" w:eastAsia="仿宋_GB2312"/>
                <w:color w:val="000000"/>
                <w:sz w:val="24"/>
                <w:szCs w:val="24"/>
              </w:rPr>
              <w:t>建设项目安全评价报告进行了多米诺效应分析，对优化平面布局未提出建议措施；</w:t>
            </w:r>
          </w:p>
          <w:p>
            <w:pPr>
              <w:spacing w:line="360" w:lineRule="exact"/>
              <w:outlineLvl w:val="2"/>
              <w:rPr>
                <w:rFonts w:hint="eastAsia" w:ascii="仿宋_GB2312" w:hAnsi="Times New Roman" w:eastAsia="仿宋_GB2312"/>
                <w:color w:val="000000"/>
                <w:sz w:val="24"/>
                <w:szCs w:val="24"/>
              </w:rPr>
            </w:pPr>
            <w:r>
              <w:rPr>
                <w:rFonts w:hint="eastAsia" w:ascii="仿宋_GB2312" w:hAnsi="Times New Roman" w:eastAsia="仿宋_GB2312"/>
                <w:color w:val="000000"/>
                <w:sz w:val="24"/>
                <w:szCs w:val="24"/>
              </w:rPr>
              <w:t>5分-符合条件。</w:t>
            </w:r>
          </w:p>
        </w:tc>
        <w:tc>
          <w:tcPr>
            <w:tcW w:w="1148" w:type="dxa"/>
            <w:noWrap w:val="0"/>
            <w:vAlign w:val="top"/>
          </w:tcPr>
          <w:p>
            <w:pPr>
              <w:spacing w:line="360" w:lineRule="exact"/>
              <w:outlineLvl w:val="2"/>
              <w:rPr>
                <w:rFonts w:hint="eastAsia" w:ascii="仿宋_GB2312" w:hAnsi="Times New Roman"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vMerge w:val="restart"/>
            <w:noWrap w:val="0"/>
            <w:vAlign w:val="center"/>
          </w:tcPr>
          <w:p>
            <w:pPr>
              <w:snapToGrid w:val="0"/>
              <w:spacing w:line="360" w:lineRule="exact"/>
              <w:jc w:val="center"/>
              <w:rPr>
                <w:rFonts w:ascii="仿宋_GB2312" w:eastAsia="仿宋_GB2312"/>
                <w:b/>
                <w:color w:val="000000"/>
                <w:sz w:val="24"/>
                <w:szCs w:val="24"/>
              </w:rPr>
            </w:pPr>
            <w:r>
              <w:rPr>
                <w:rFonts w:hint="eastAsia" w:ascii="仿宋_GB2312" w:eastAsia="仿宋_GB2312"/>
                <w:b/>
                <w:color w:val="000000"/>
                <w:sz w:val="24"/>
                <w:szCs w:val="24"/>
              </w:rPr>
              <w:t>4</w:t>
            </w:r>
          </w:p>
        </w:tc>
        <w:tc>
          <w:tcPr>
            <w:tcW w:w="1559" w:type="dxa"/>
            <w:vMerge w:val="restart"/>
            <w:noWrap w:val="0"/>
            <w:vAlign w:val="center"/>
          </w:tcPr>
          <w:p>
            <w:pPr>
              <w:pStyle w:val="20"/>
              <w:snapToGrid w:val="0"/>
              <w:spacing w:line="360" w:lineRule="exact"/>
              <w:jc w:val="center"/>
              <w:rPr>
                <w:rFonts w:ascii="仿宋_GB2312" w:eastAsia="仿宋_GB2312"/>
                <w:b/>
              </w:rPr>
            </w:pPr>
            <w:r>
              <w:rPr>
                <w:rFonts w:hint="eastAsia" w:ascii="仿宋_GB2312" w:eastAsia="仿宋_GB2312"/>
                <w:b/>
              </w:rPr>
              <w:t>准入和退出</w:t>
            </w:r>
          </w:p>
          <w:p>
            <w:pPr>
              <w:pStyle w:val="20"/>
              <w:snapToGrid w:val="0"/>
              <w:spacing w:line="360" w:lineRule="exact"/>
              <w:jc w:val="center"/>
              <w:rPr>
                <w:rFonts w:ascii="仿宋_GB2312" w:eastAsia="仿宋_GB2312"/>
              </w:rPr>
            </w:pPr>
            <w:r>
              <w:rPr>
                <w:rFonts w:hint="eastAsia" w:ascii="仿宋_GB2312" w:eastAsia="仿宋_GB2312"/>
                <w:b/>
              </w:rPr>
              <w:t>（20分）</w:t>
            </w:r>
          </w:p>
        </w:tc>
        <w:tc>
          <w:tcPr>
            <w:tcW w:w="3828" w:type="dxa"/>
            <w:noWrap w:val="0"/>
            <w:vAlign w:val="center"/>
          </w:tcPr>
          <w:p>
            <w:pPr>
              <w:spacing w:line="360" w:lineRule="exact"/>
              <w:outlineLvl w:val="2"/>
              <w:rPr>
                <w:rFonts w:hint="eastAsia" w:ascii="仿宋_GB2312" w:hAnsi="Times New Roman" w:eastAsia="仿宋_GB2312"/>
                <w:color w:val="000000"/>
                <w:sz w:val="24"/>
                <w:szCs w:val="24"/>
              </w:rPr>
            </w:pPr>
            <w:r>
              <w:rPr>
                <w:rFonts w:hint="eastAsia" w:ascii="仿宋_GB2312" w:hAnsi="Times New Roman" w:eastAsia="仿宋_GB2312"/>
                <w:color w:val="000000"/>
                <w:sz w:val="24"/>
                <w:szCs w:val="24"/>
              </w:rPr>
              <w:t>（15）化工园区应当严格根据《化工园区总体规划》和《化工园区产业规划》，制定适应区域特点、地方实际的《化工园区产业准入目录》和“禁限控”目录。</w:t>
            </w:r>
          </w:p>
        </w:tc>
        <w:tc>
          <w:tcPr>
            <w:tcW w:w="4520" w:type="dxa"/>
            <w:noWrap w:val="0"/>
            <w:vAlign w:val="top"/>
          </w:tcPr>
          <w:p>
            <w:pPr>
              <w:spacing w:line="360" w:lineRule="exact"/>
              <w:outlineLvl w:val="2"/>
              <w:rPr>
                <w:rFonts w:hint="eastAsia" w:ascii="仿宋_GB2312" w:eastAsia="仿宋_GB2312"/>
                <w:color w:val="000000"/>
                <w:sz w:val="24"/>
                <w:szCs w:val="24"/>
              </w:rPr>
            </w:pPr>
            <w:r>
              <w:rPr>
                <w:rFonts w:hint="eastAsia" w:ascii="仿宋_GB2312" w:hAnsi="Times New Roman" w:eastAsia="仿宋_GB2312"/>
                <w:color w:val="000000"/>
                <w:sz w:val="24"/>
                <w:szCs w:val="24"/>
              </w:rPr>
              <w:t>0分</w:t>
            </w:r>
            <w:r>
              <w:rPr>
                <w:rFonts w:hint="eastAsia" w:ascii="仿宋_GB2312" w:eastAsia="仿宋_GB2312"/>
                <w:color w:val="000000"/>
                <w:sz w:val="24"/>
                <w:szCs w:val="24"/>
              </w:rPr>
              <w:t>-未制定</w:t>
            </w:r>
            <w:r>
              <w:rPr>
                <w:rFonts w:hint="eastAsia" w:ascii="仿宋_GB2312" w:hAnsi="Times New Roman" w:eastAsia="仿宋_GB2312"/>
                <w:color w:val="000000"/>
                <w:sz w:val="24"/>
                <w:szCs w:val="24"/>
              </w:rPr>
              <w:t>《化工园区产业准入目录》或“禁限控”目录</w:t>
            </w:r>
            <w:r>
              <w:rPr>
                <w:rFonts w:hint="eastAsia" w:ascii="仿宋_GB2312" w:eastAsia="仿宋_GB2312"/>
                <w:color w:val="000000"/>
                <w:sz w:val="24"/>
                <w:szCs w:val="24"/>
              </w:rPr>
              <w:t>；</w:t>
            </w:r>
          </w:p>
          <w:p>
            <w:pPr>
              <w:spacing w:line="360" w:lineRule="exact"/>
              <w:outlineLvl w:val="2"/>
              <w:rPr>
                <w:rFonts w:hint="eastAsia" w:ascii="仿宋_GB2312" w:hAnsi="Times New Roman" w:eastAsia="仿宋_GB2312"/>
                <w:color w:val="000000"/>
                <w:sz w:val="24"/>
                <w:szCs w:val="24"/>
              </w:rPr>
            </w:pPr>
            <w:r>
              <w:rPr>
                <w:rFonts w:hint="eastAsia" w:ascii="仿宋_GB2312" w:hAnsi="Times New Roman" w:eastAsia="仿宋_GB2312"/>
                <w:color w:val="000000"/>
                <w:sz w:val="24"/>
                <w:szCs w:val="24"/>
              </w:rPr>
              <w:t>1</w:t>
            </w:r>
            <w:r>
              <w:rPr>
                <w:rFonts w:hint="eastAsia" w:ascii="仿宋_GB2312" w:eastAsia="仿宋_GB2312"/>
                <w:color w:val="000000"/>
                <w:sz w:val="24"/>
                <w:szCs w:val="24"/>
              </w:rPr>
              <w:t>分</w:t>
            </w:r>
            <w:r>
              <w:rPr>
                <w:rFonts w:hint="eastAsia" w:ascii="仿宋_GB2312" w:hAnsi="Times New Roman" w:eastAsia="仿宋_GB2312"/>
                <w:color w:val="000000"/>
                <w:sz w:val="24"/>
                <w:szCs w:val="24"/>
              </w:rPr>
              <w:t>-《化工园区产业准入目录》和“禁限控”目录未明确产业目录、产业类别、生产能力、工艺水平等关键指标；</w:t>
            </w:r>
          </w:p>
          <w:p>
            <w:pPr>
              <w:spacing w:line="360" w:lineRule="exact"/>
              <w:outlineLvl w:val="2"/>
              <w:rPr>
                <w:rFonts w:hint="eastAsia" w:ascii="仿宋_GB2312" w:hAnsi="Times New Roman" w:eastAsia="仿宋_GB2312"/>
                <w:color w:val="000000"/>
                <w:sz w:val="24"/>
                <w:szCs w:val="24"/>
              </w:rPr>
            </w:pPr>
            <w:r>
              <w:rPr>
                <w:rFonts w:hint="eastAsia" w:ascii="仿宋_GB2312" w:hAnsi="Times New Roman" w:eastAsia="仿宋_GB2312"/>
                <w:color w:val="000000"/>
                <w:sz w:val="24"/>
                <w:szCs w:val="24"/>
              </w:rPr>
              <w:t>5分-符合条件。</w:t>
            </w:r>
          </w:p>
        </w:tc>
        <w:tc>
          <w:tcPr>
            <w:tcW w:w="1148" w:type="dxa"/>
            <w:noWrap w:val="0"/>
            <w:vAlign w:val="top"/>
          </w:tcPr>
          <w:p>
            <w:pPr>
              <w:spacing w:line="360" w:lineRule="exact"/>
              <w:outlineLvl w:val="2"/>
              <w:rPr>
                <w:rFonts w:hint="eastAsia" w:ascii="仿宋_GB2312" w:hAnsi="Times New Roman"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vMerge w:val="continue"/>
            <w:noWrap w:val="0"/>
            <w:vAlign w:val="center"/>
          </w:tcPr>
          <w:p>
            <w:pPr>
              <w:snapToGrid w:val="0"/>
              <w:spacing w:line="360" w:lineRule="exact"/>
              <w:jc w:val="center"/>
              <w:rPr>
                <w:rFonts w:hint="eastAsia" w:ascii="仿宋_GB2312" w:eastAsia="仿宋_GB2312"/>
                <w:b/>
                <w:color w:val="000000"/>
                <w:sz w:val="24"/>
                <w:szCs w:val="24"/>
              </w:rPr>
            </w:pPr>
          </w:p>
        </w:tc>
        <w:tc>
          <w:tcPr>
            <w:tcW w:w="1559" w:type="dxa"/>
            <w:vMerge w:val="continue"/>
            <w:noWrap w:val="0"/>
            <w:vAlign w:val="center"/>
          </w:tcPr>
          <w:p>
            <w:pPr>
              <w:pStyle w:val="20"/>
              <w:snapToGrid w:val="0"/>
              <w:spacing w:line="360" w:lineRule="exact"/>
              <w:jc w:val="center"/>
              <w:rPr>
                <w:rFonts w:hint="eastAsia" w:ascii="仿宋_GB2312" w:eastAsia="仿宋_GB2312"/>
                <w:b/>
              </w:rPr>
            </w:pPr>
          </w:p>
        </w:tc>
        <w:tc>
          <w:tcPr>
            <w:tcW w:w="3828" w:type="dxa"/>
            <w:noWrap w:val="0"/>
            <w:vAlign w:val="center"/>
          </w:tcPr>
          <w:p>
            <w:pPr>
              <w:spacing w:line="360" w:lineRule="exact"/>
              <w:outlineLvl w:val="2"/>
              <w:rPr>
                <w:rFonts w:hint="eastAsia" w:ascii="仿宋_GB2312" w:hAnsi="Times New Roman" w:eastAsia="仿宋_GB2312"/>
                <w:color w:val="000000"/>
                <w:sz w:val="24"/>
                <w:szCs w:val="24"/>
              </w:rPr>
            </w:pPr>
            <w:r>
              <w:rPr>
                <w:rFonts w:hint="eastAsia" w:ascii="仿宋_GB2312" w:hAnsi="Times New Roman" w:eastAsia="仿宋_GB2312"/>
                <w:color w:val="000000"/>
                <w:sz w:val="24"/>
                <w:szCs w:val="24"/>
              </w:rPr>
              <w:t>（16）化工园区的项目准入应有利于形成相对完整的“上中下游”产业链和主导产业，实现化工园区内资源的有效配置和充分利用。</w:t>
            </w:r>
          </w:p>
        </w:tc>
        <w:tc>
          <w:tcPr>
            <w:tcW w:w="4520" w:type="dxa"/>
            <w:noWrap w:val="0"/>
            <w:vAlign w:val="top"/>
          </w:tcPr>
          <w:p>
            <w:pPr>
              <w:spacing w:line="360" w:lineRule="exact"/>
              <w:outlineLvl w:val="2"/>
              <w:rPr>
                <w:rFonts w:hint="eastAsia" w:ascii="仿宋_GB2312" w:eastAsia="仿宋_GB2312"/>
                <w:color w:val="000000"/>
                <w:sz w:val="24"/>
                <w:szCs w:val="24"/>
              </w:rPr>
            </w:pPr>
            <w:r>
              <w:rPr>
                <w:rFonts w:hint="eastAsia" w:ascii="仿宋_GB2312" w:hAnsi="Times New Roman" w:eastAsia="仿宋_GB2312"/>
                <w:color w:val="000000"/>
                <w:sz w:val="24"/>
                <w:szCs w:val="24"/>
              </w:rPr>
              <w:t>0分</w:t>
            </w:r>
            <w:r>
              <w:rPr>
                <w:rFonts w:hint="eastAsia" w:ascii="仿宋_GB2312" w:eastAsia="仿宋_GB2312"/>
                <w:color w:val="000000"/>
                <w:sz w:val="24"/>
                <w:szCs w:val="24"/>
              </w:rPr>
              <w:t>-近5年</w:t>
            </w:r>
            <w:r>
              <w:rPr>
                <w:rFonts w:hint="eastAsia" w:ascii="仿宋_GB2312" w:hAnsi="Times New Roman" w:eastAsia="仿宋_GB2312"/>
                <w:color w:val="000000"/>
                <w:sz w:val="24"/>
                <w:szCs w:val="24"/>
              </w:rPr>
              <w:t>化工园区的准入项目与化工园区“上中下游”产业链和主导产业无关</w:t>
            </w:r>
            <w:r>
              <w:rPr>
                <w:rFonts w:hint="eastAsia" w:ascii="仿宋_GB2312" w:eastAsia="仿宋_GB2312"/>
                <w:color w:val="000000"/>
                <w:sz w:val="24"/>
                <w:szCs w:val="24"/>
              </w:rPr>
              <w:t>；</w:t>
            </w:r>
          </w:p>
          <w:p>
            <w:pPr>
              <w:spacing w:line="360" w:lineRule="exact"/>
              <w:outlineLvl w:val="2"/>
              <w:rPr>
                <w:rFonts w:hint="eastAsia" w:ascii="仿宋_GB2312" w:eastAsia="仿宋_GB2312"/>
                <w:color w:val="000000"/>
                <w:sz w:val="24"/>
                <w:szCs w:val="24"/>
              </w:rPr>
            </w:pPr>
            <w:r>
              <w:rPr>
                <w:rFonts w:hint="eastAsia" w:ascii="仿宋_GB2312" w:hAnsi="Times New Roman" w:eastAsia="仿宋_GB2312"/>
                <w:color w:val="000000"/>
                <w:sz w:val="24"/>
                <w:szCs w:val="24"/>
              </w:rPr>
              <w:t>1</w:t>
            </w:r>
            <w:r>
              <w:rPr>
                <w:rFonts w:hint="eastAsia" w:ascii="仿宋_GB2312" w:eastAsia="仿宋_GB2312"/>
                <w:color w:val="000000"/>
                <w:sz w:val="24"/>
                <w:szCs w:val="24"/>
              </w:rPr>
              <w:t>分</w:t>
            </w:r>
            <w:r>
              <w:rPr>
                <w:rFonts w:hint="eastAsia" w:ascii="仿宋_GB2312" w:hAnsi="Times New Roman" w:eastAsia="仿宋_GB2312"/>
                <w:color w:val="000000"/>
                <w:sz w:val="24"/>
                <w:szCs w:val="24"/>
              </w:rPr>
              <w:t>-</w:t>
            </w:r>
            <w:r>
              <w:rPr>
                <w:rFonts w:hint="eastAsia" w:ascii="仿宋_GB2312" w:eastAsia="仿宋_GB2312"/>
                <w:color w:val="000000"/>
                <w:sz w:val="24"/>
                <w:szCs w:val="24"/>
              </w:rPr>
              <w:t>近5年</w:t>
            </w:r>
            <w:r>
              <w:rPr>
                <w:rFonts w:hint="eastAsia" w:ascii="仿宋_GB2312" w:hAnsi="Times New Roman" w:eastAsia="仿宋_GB2312"/>
                <w:color w:val="000000"/>
                <w:sz w:val="24"/>
                <w:szCs w:val="24"/>
              </w:rPr>
              <w:t>化工园区的准入项目与化工园区“上中下游”产业链和主导产业有一定关联性</w:t>
            </w:r>
            <w:r>
              <w:rPr>
                <w:rFonts w:hint="eastAsia" w:ascii="仿宋_GB2312" w:eastAsia="仿宋_GB2312"/>
                <w:color w:val="000000"/>
                <w:sz w:val="24"/>
                <w:szCs w:val="24"/>
              </w:rPr>
              <w:t>；</w:t>
            </w:r>
          </w:p>
          <w:p>
            <w:pPr>
              <w:spacing w:line="360" w:lineRule="exact"/>
              <w:outlineLvl w:val="2"/>
              <w:rPr>
                <w:rFonts w:hint="eastAsia" w:ascii="仿宋_GB2312" w:hAnsi="Times New Roman" w:eastAsia="仿宋_GB2312"/>
                <w:color w:val="000000"/>
                <w:sz w:val="24"/>
                <w:szCs w:val="24"/>
              </w:rPr>
            </w:pPr>
            <w:r>
              <w:rPr>
                <w:rFonts w:hint="eastAsia" w:ascii="仿宋_GB2312" w:hAnsi="Times New Roman" w:eastAsia="仿宋_GB2312"/>
                <w:color w:val="000000"/>
                <w:sz w:val="24"/>
                <w:szCs w:val="24"/>
              </w:rPr>
              <w:t>5分-符合条件。</w:t>
            </w:r>
          </w:p>
        </w:tc>
        <w:tc>
          <w:tcPr>
            <w:tcW w:w="1148" w:type="dxa"/>
            <w:noWrap w:val="0"/>
            <w:vAlign w:val="top"/>
          </w:tcPr>
          <w:p>
            <w:pPr>
              <w:spacing w:line="360" w:lineRule="exact"/>
              <w:outlineLvl w:val="2"/>
              <w:rPr>
                <w:rFonts w:hint="eastAsia" w:ascii="仿宋_GB2312" w:hAnsi="Times New Roman"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vMerge w:val="continue"/>
            <w:noWrap w:val="0"/>
            <w:vAlign w:val="center"/>
          </w:tcPr>
          <w:p>
            <w:pPr>
              <w:snapToGrid w:val="0"/>
              <w:spacing w:line="360" w:lineRule="exact"/>
              <w:jc w:val="center"/>
              <w:rPr>
                <w:rFonts w:hint="eastAsia" w:ascii="仿宋_GB2312" w:eastAsia="仿宋_GB2312"/>
                <w:b/>
                <w:color w:val="000000"/>
                <w:sz w:val="24"/>
                <w:szCs w:val="24"/>
              </w:rPr>
            </w:pPr>
          </w:p>
        </w:tc>
        <w:tc>
          <w:tcPr>
            <w:tcW w:w="1559" w:type="dxa"/>
            <w:vMerge w:val="continue"/>
            <w:noWrap w:val="0"/>
            <w:vAlign w:val="center"/>
          </w:tcPr>
          <w:p>
            <w:pPr>
              <w:pStyle w:val="20"/>
              <w:snapToGrid w:val="0"/>
              <w:spacing w:line="360" w:lineRule="exact"/>
              <w:jc w:val="center"/>
              <w:rPr>
                <w:rFonts w:hint="eastAsia" w:ascii="仿宋_GB2312" w:eastAsia="仿宋_GB2312"/>
                <w:b/>
              </w:rPr>
            </w:pPr>
          </w:p>
        </w:tc>
        <w:tc>
          <w:tcPr>
            <w:tcW w:w="3828" w:type="dxa"/>
            <w:noWrap w:val="0"/>
            <w:vAlign w:val="center"/>
          </w:tcPr>
          <w:p>
            <w:pPr>
              <w:spacing w:line="360" w:lineRule="exact"/>
              <w:outlineLvl w:val="1"/>
              <w:rPr>
                <w:rFonts w:hint="eastAsia" w:ascii="仿宋_GB2312" w:hAnsi="Times New Roman" w:eastAsia="仿宋_GB2312"/>
                <w:color w:val="000000"/>
                <w:sz w:val="24"/>
                <w:szCs w:val="24"/>
              </w:rPr>
            </w:pPr>
            <w:r>
              <w:rPr>
                <w:rFonts w:hint="eastAsia" w:ascii="仿宋_GB2312" w:hAnsi="Times New Roman" w:eastAsia="仿宋_GB2312"/>
                <w:color w:val="000000"/>
                <w:sz w:val="24"/>
                <w:szCs w:val="24"/>
              </w:rPr>
              <w:t>（17）化工园区内危险化学品建设项目应由具有相关工程设计资质的单位设计；涉及“两重点一重大”装置的专业管理人员必须具有大专以上学历、操作人员必须具有高中以上文化程度，企业特种作业人员应持证上岗。</w:t>
            </w:r>
          </w:p>
        </w:tc>
        <w:tc>
          <w:tcPr>
            <w:tcW w:w="4520" w:type="dxa"/>
            <w:noWrap w:val="0"/>
            <w:vAlign w:val="top"/>
          </w:tcPr>
          <w:p>
            <w:pPr>
              <w:spacing w:line="360" w:lineRule="exact"/>
              <w:outlineLvl w:val="2"/>
              <w:rPr>
                <w:rFonts w:hint="eastAsia" w:ascii="仿宋_GB2312" w:hAnsi="Times New Roman" w:eastAsia="仿宋_GB2312"/>
                <w:color w:val="000000"/>
                <w:sz w:val="24"/>
                <w:szCs w:val="24"/>
              </w:rPr>
            </w:pPr>
            <w:r>
              <w:rPr>
                <w:rFonts w:hint="eastAsia" w:ascii="仿宋_GB2312" w:hAnsi="Times New Roman" w:eastAsia="仿宋_GB2312"/>
                <w:color w:val="000000"/>
                <w:sz w:val="24"/>
                <w:szCs w:val="24"/>
              </w:rPr>
              <w:t>0分-园区内危险化学品建设项目未由具有相关工程设计资质的单位设计，或涉及“两重点一重大”装置的专业管理人员不具有大专以上学历，或操作人员不具有高中以上文化程度，或特种作业人员未持证上岗；</w:t>
            </w:r>
          </w:p>
          <w:p>
            <w:pPr>
              <w:spacing w:line="360" w:lineRule="exact"/>
              <w:outlineLvl w:val="2"/>
              <w:rPr>
                <w:rFonts w:hint="eastAsia" w:ascii="仿宋_GB2312" w:hAnsi="Times New Roman" w:eastAsia="仿宋_GB2312"/>
                <w:color w:val="000000"/>
                <w:sz w:val="24"/>
                <w:szCs w:val="24"/>
              </w:rPr>
            </w:pPr>
            <w:r>
              <w:rPr>
                <w:rFonts w:hint="eastAsia" w:ascii="仿宋_GB2312" w:hAnsi="Times New Roman" w:eastAsia="仿宋_GB2312"/>
                <w:color w:val="000000"/>
                <w:sz w:val="24"/>
                <w:szCs w:val="24"/>
              </w:rPr>
              <w:t>5分-符合条件。</w:t>
            </w:r>
          </w:p>
        </w:tc>
        <w:tc>
          <w:tcPr>
            <w:tcW w:w="1148" w:type="dxa"/>
            <w:noWrap w:val="0"/>
            <w:vAlign w:val="top"/>
          </w:tcPr>
          <w:p>
            <w:pPr>
              <w:spacing w:line="360" w:lineRule="exact"/>
              <w:outlineLvl w:val="2"/>
              <w:rPr>
                <w:rFonts w:hint="eastAsia" w:ascii="仿宋_GB2312" w:hAnsi="Times New Roman"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vMerge w:val="continue"/>
            <w:noWrap w:val="0"/>
            <w:vAlign w:val="center"/>
          </w:tcPr>
          <w:p>
            <w:pPr>
              <w:snapToGrid w:val="0"/>
              <w:spacing w:line="360" w:lineRule="exact"/>
              <w:jc w:val="center"/>
              <w:rPr>
                <w:rFonts w:ascii="仿宋_GB2312" w:eastAsia="仿宋_GB2312"/>
                <w:b/>
                <w:color w:val="000000"/>
                <w:sz w:val="24"/>
                <w:szCs w:val="24"/>
              </w:rPr>
            </w:pPr>
          </w:p>
        </w:tc>
        <w:tc>
          <w:tcPr>
            <w:tcW w:w="1559" w:type="dxa"/>
            <w:vMerge w:val="continue"/>
            <w:noWrap w:val="0"/>
            <w:vAlign w:val="center"/>
          </w:tcPr>
          <w:p>
            <w:pPr>
              <w:pStyle w:val="20"/>
              <w:snapToGrid w:val="0"/>
              <w:spacing w:line="360" w:lineRule="exact"/>
              <w:jc w:val="center"/>
              <w:rPr>
                <w:rFonts w:ascii="仿宋_GB2312" w:eastAsia="仿宋_GB2312"/>
              </w:rPr>
            </w:pPr>
          </w:p>
        </w:tc>
        <w:tc>
          <w:tcPr>
            <w:tcW w:w="3828" w:type="dxa"/>
            <w:noWrap w:val="0"/>
            <w:vAlign w:val="center"/>
          </w:tcPr>
          <w:p>
            <w:pPr>
              <w:spacing w:line="360" w:lineRule="exact"/>
              <w:outlineLvl w:val="1"/>
              <w:rPr>
                <w:rFonts w:hint="eastAsia" w:ascii="仿宋_GB2312" w:eastAsia="仿宋_GB2312"/>
                <w:color w:val="000000"/>
                <w:sz w:val="24"/>
                <w:szCs w:val="24"/>
              </w:rPr>
            </w:pPr>
            <w:r>
              <w:rPr>
                <w:rFonts w:hint="eastAsia" w:ascii="仿宋_GB2312" w:hAnsi="Times New Roman" w:eastAsia="仿宋_GB2312"/>
                <w:color w:val="000000"/>
                <w:sz w:val="24"/>
                <w:szCs w:val="24"/>
              </w:rPr>
              <w:t>（18）</w:t>
            </w:r>
            <w:r>
              <w:rPr>
                <w:rFonts w:hint="eastAsia" w:ascii="仿宋_GB2312" w:eastAsia="仿宋_GB2312"/>
                <w:color w:val="000000"/>
                <w:sz w:val="24"/>
                <w:szCs w:val="24"/>
              </w:rPr>
              <w:t>凡存在重大安全隐患、生产工艺技术落后、不具备安全生产条件且难以治理的或整改后仍不能达到要求的企业应予以关闭、退出化工园区。</w:t>
            </w:r>
          </w:p>
        </w:tc>
        <w:tc>
          <w:tcPr>
            <w:tcW w:w="4520" w:type="dxa"/>
            <w:noWrap w:val="0"/>
            <w:vAlign w:val="top"/>
          </w:tcPr>
          <w:p>
            <w:pPr>
              <w:spacing w:line="360" w:lineRule="exact"/>
              <w:outlineLvl w:val="2"/>
              <w:rPr>
                <w:rFonts w:hint="eastAsia" w:ascii="仿宋_GB2312" w:eastAsia="仿宋_GB2312"/>
                <w:color w:val="000000"/>
                <w:sz w:val="24"/>
                <w:szCs w:val="24"/>
              </w:rPr>
            </w:pPr>
            <w:r>
              <w:rPr>
                <w:rFonts w:hint="eastAsia" w:ascii="仿宋_GB2312" w:hAnsi="Times New Roman" w:eastAsia="仿宋_GB2312"/>
                <w:color w:val="000000"/>
                <w:sz w:val="24"/>
                <w:szCs w:val="24"/>
              </w:rPr>
              <w:t>0分</w:t>
            </w:r>
            <w:r>
              <w:rPr>
                <w:rFonts w:hint="eastAsia" w:ascii="仿宋_GB2312" w:eastAsia="仿宋_GB2312"/>
                <w:color w:val="000000"/>
                <w:sz w:val="24"/>
                <w:szCs w:val="24"/>
              </w:rPr>
              <w:t>-存在重大安全隐患、生产工艺技术落后、不具备安全生产条件且难以治理的或整改后仍不能达到要求的企业；</w:t>
            </w:r>
          </w:p>
          <w:p>
            <w:pPr>
              <w:spacing w:line="360" w:lineRule="exact"/>
              <w:outlineLvl w:val="2"/>
              <w:rPr>
                <w:rFonts w:hint="eastAsia" w:ascii="仿宋_GB2312" w:hAnsi="Times New Roman" w:eastAsia="仿宋_GB2312"/>
                <w:color w:val="000000"/>
                <w:sz w:val="24"/>
                <w:szCs w:val="24"/>
              </w:rPr>
            </w:pPr>
            <w:r>
              <w:rPr>
                <w:rFonts w:hint="eastAsia" w:ascii="仿宋_GB2312" w:hAnsi="Times New Roman" w:eastAsia="仿宋_GB2312"/>
                <w:color w:val="000000"/>
                <w:sz w:val="24"/>
                <w:szCs w:val="24"/>
              </w:rPr>
              <w:t>5分-符合条件。</w:t>
            </w:r>
          </w:p>
        </w:tc>
        <w:tc>
          <w:tcPr>
            <w:tcW w:w="1148" w:type="dxa"/>
            <w:noWrap w:val="0"/>
            <w:vAlign w:val="top"/>
          </w:tcPr>
          <w:p>
            <w:pPr>
              <w:spacing w:line="360" w:lineRule="exact"/>
              <w:outlineLvl w:val="2"/>
              <w:rPr>
                <w:rFonts w:hint="eastAsia" w:ascii="仿宋_GB2312" w:hAnsi="Times New Roman"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vMerge w:val="restart"/>
            <w:noWrap w:val="0"/>
            <w:vAlign w:val="center"/>
          </w:tcPr>
          <w:p>
            <w:pPr>
              <w:snapToGrid w:val="0"/>
              <w:spacing w:line="360" w:lineRule="exact"/>
              <w:jc w:val="center"/>
              <w:rPr>
                <w:rFonts w:ascii="仿宋_GB2312" w:eastAsia="仿宋_GB2312"/>
                <w:b/>
                <w:color w:val="000000"/>
                <w:sz w:val="24"/>
                <w:szCs w:val="24"/>
              </w:rPr>
            </w:pPr>
            <w:r>
              <w:rPr>
                <w:rFonts w:hint="eastAsia" w:ascii="仿宋_GB2312" w:eastAsia="仿宋_GB2312"/>
                <w:b/>
                <w:color w:val="000000"/>
                <w:sz w:val="24"/>
                <w:szCs w:val="24"/>
              </w:rPr>
              <w:t>5</w:t>
            </w:r>
          </w:p>
        </w:tc>
        <w:tc>
          <w:tcPr>
            <w:tcW w:w="1559" w:type="dxa"/>
            <w:vMerge w:val="restart"/>
            <w:noWrap w:val="0"/>
            <w:vAlign w:val="center"/>
          </w:tcPr>
          <w:p>
            <w:pPr>
              <w:pStyle w:val="20"/>
              <w:snapToGrid w:val="0"/>
              <w:spacing w:line="360" w:lineRule="exact"/>
              <w:jc w:val="center"/>
              <w:rPr>
                <w:rFonts w:ascii="仿宋_GB2312" w:eastAsia="仿宋_GB2312"/>
                <w:b/>
              </w:rPr>
            </w:pPr>
            <w:r>
              <w:rPr>
                <w:rFonts w:ascii="仿宋_GB2312" w:eastAsia="仿宋_GB2312"/>
                <w:b/>
              </w:rPr>
              <w:t>配套功能</w:t>
            </w:r>
            <w:r>
              <w:rPr>
                <w:rFonts w:hint="eastAsia" w:ascii="仿宋_GB2312" w:eastAsia="仿宋_GB2312"/>
                <w:b/>
              </w:rPr>
              <w:t>设施</w:t>
            </w:r>
          </w:p>
          <w:p>
            <w:pPr>
              <w:pStyle w:val="20"/>
              <w:snapToGrid w:val="0"/>
              <w:spacing w:line="360" w:lineRule="exact"/>
              <w:jc w:val="center"/>
              <w:rPr>
                <w:rFonts w:ascii="仿宋_GB2312" w:eastAsia="仿宋_GB2312"/>
              </w:rPr>
            </w:pPr>
            <w:r>
              <w:rPr>
                <w:rFonts w:hint="eastAsia" w:ascii="仿宋_GB2312" w:eastAsia="仿宋_GB2312"/>
                <w:b/>
              </w:rPr>
              <w:t>（35分）</w:t>
            </w:r>
          </w:p>
        </w:tc>
        <w:tc>
          <w:tcPr>
            <w:tcW w:w="3828" w:type="dxa"/>
            <w:noWrap w:val="0"/>
            <w:vAlign w:val="center"/>
          </w:tcPr>
          <w:p>
            <w:pPr>
              <w:snapToGrid w:val="0"/>
              <w:spacing w:line="360" w:lineRule="exact"/>
              <w:rPr>
                <w:rFonts w:hint="eastAsia" w:ascii="仿宋_GB2312" w:eastAsia="仿宋_GB2312"/>
                <w:color w:val="000000"/>
                <w:sz w:val="24"/>
                <w:szCs w:val="24"/>
              </w:rPr>
            </w:pPr>
            <w:r>
              <w:rPr>
                <w:rFonts w:hint="eastAsia" w:ascii="仿宋_GB2312" w:eastAsia="仿宋_GB2312"/>
                <w:color w:val="000000"/>
                <w:sz w:val="24"/>
                <w:szCs w:val="24"/>
              </w:rPr>
              <w:t>（19）化工园区供水水源是否充足、可靠，建设统一集中的供水设施和管网，满足企业和化工园区配套设施生产、生活、消防用水的需求。</w:t>
            </w:r>
          </w:p>
        </w:tc>
        <w:tc>
          <w:tcPr>
            <w:tcW w:w="4520" w:type="dxa"/>
            <w:noWrap w:val="0"/>
            <w:vAlign w:val="top"/>
          </w:tcPr>
          <w:p>
            <w:pPr>
              <w:spacing w:line="360" w:lineRule="exact"/>
              <w:outlineLvl w:val="2"/>
              <w:rPr>
                <w:rFonts w:hint="eastAsia" w:ascii="仿宋_GB2312" w:eastAsia="仿宋_GB2312"/>
                <w:color w:val="000000"/>
                <w:sz w:val="24"/>
                <w:szCs w:val="24"/>
              </w:rPr>
            </w:pPr>
            <w:r>
              <w:rPr>
                <w:rFonts w:hint="eastAsia" w:ascii="仿宋_GB2312" w:hAnsi="Times New Roman" w:eastAsia="仿宋_GB2312"/>
                <w:color w:val="000000"/>
                <w:sz w:val="24"/>
                <w:szCs w:val="24"/>
              </w:rPr>
              <w:t>0分</w:t>
            </w:r>
            <w:r>
              <w:rPr>
                <w:rFonts w:hint="eastAsia" w:ascii="仿宋_GB2312" w:eastAsia="仿宋_GB2312"/>
                <w:color w:val="000000"/>
                <w:sz w:val="24"/>
                <w:szCs w:val="24"/>
              </w:rPr>
              <w:t>-供水不能满足企业和化工园区配套设施生产、生活、消防用水的需求；</w:t>
            </w:r>
          </w:p>
          <w:p>
            <w:pPr>
              <w:spacing w:line="360" w:lineRule="exact"/>
              <w:outlineLvl w:val="2"/>
              <w:rPr>
                <w:rFonts w:hint="eastAsia" w:ascii="仿宋_GB2312" w:eastAsia="仿宋_GB2312"/>
                <w:color w:val="000000"/>
                <w:sz w:val="24"/>
                <w:szCs w:val="24"/>
              </w:rPr>
            </w:pPr>
            <w:r>
              <w:rPr>
                <w:rFonts w:hint="eastAsia" w:ascii="仿宋_GB2312" w:hAnsi="Times New Roman" w:eastAsia="仿宋_GB2312"/>
                <w:color w:val="000000"/>
                <w:sz w:val="24"/>
                <w:szCs w:val="24"/>
              </w:rPr>
              <w:t>3分</w:t>
            </w:r>
            <w:r>
              <w:rPr>
                <w:rFonts w:hint="eastAsia" w:ascii="仿宋_GB2312" w:eastAsia="仿宋_GB2312"/>
                <w:color w:val="000000"/>
                <w:sz w:val="24"/>
                <w:szCs w:val="24"/>
              </w:rPr>
              <w:t>-供水水源充足、可靠，但化工园区未建设统一集中的供水设施和管网；</w:t>
            </w:r>
          </w:p>
          <w:p>
            <w:pPr>
              <w:snapToGrid w:val="0"/>
              <w:spacing w:line="360" w:lineRule="exact"/>
              <w:rPr>
                <w:rFonts w:hint="eastAsia" w:ascii="仿宋_GB2312" w:eastAsia="仿宋_GB2312"/>
                <w:color w:val="000000"/>
                <w:sz w:val="24"/>
                <w:szCs w:val="24"/>
              </w:rPr>
            </w:pPr>
            <w:r>
              <w:rPr>
                <w:rFonts w:hint="eastAsia" w:ascii="仿宋_GB2312" w:hAnsi="Times New Roman" w:eastAsia="仿宋_GB2312"/>
                <w:color w:val="000000"/>
                <w:sz w:val="24"/>
                <w:szCs w:val="24"/>
              </w:rPr>
              <w:t>5分-符合条件。</w:t>
            </w:r>
          </w:p>
        </w:tc>
        <w:tc>
          <w:tcPr>
            <w:tcW w:w="1148" w:type="dxa"/>
            <w:noWrap w:val="0"/>
            <w:vAlign w:val="top"/>
          </w:tcPr>
          <w:p>
            <w:pPr>
              <w:snapToGrid w:val="0"/>
              <w:spacing w:line="360" w:lineRule="exact"/>
              <w:rPr>
                <w:rFonts w:hint="eastAsia" w:ascii="仿宋_GB2312"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vMerge w:val="continue"/>
            <w:noWrap w:val="0"/>
            <w:vAlign w:val="center"/>
          </w:tcPr>
          <w:p>
            <w:pPr>
              <w:snapToGrid w:val="0"/>
              <w:spacing w:line="360" w:lineRule="exact"/>
              <w:jc w:val="center"/>
              <w:rPr>
                <w:rFonts w:ascii="仿宋_GB2312" w:eastAsia="仿宋_GB2312"/>
                <w:b/>
                <w:color w:val="000000"/>
                <w:sz w:val="24"/>
                <w:szCs w:val="24"/>
              </w:rPr>
            </w:pPr>
          </w:p>
        </w:tc>
        <w:tc>
          <w:tcPr>
            <w:tcW w:w="1559" w:type="dxa"/>
            <w:vMerge w:val="continue"/>
            <w:noWrap w:val="0"/>
            <w:vAlign w:val="center"/>
          </w:tcPr>
          <w:p>
            <w:pPr>
              <w:snapToGrid w:val="0"/>
              <w:spacing w:line="360" w:lineRule="exact"/>
              <w:jc w:val="center"/>
              <w:rPr>
                <w:rFonts w:ascii="仿宋_GB2312" w:eastAsia="仿宋_GB2312"/>
                <w:color w:val="000000"/>
                <w:sz w:val="24"/>
                <w:szCs w:val="24"/>
              </w:rPr>
            </w:pPr>
          </w:p>
        </w:tc>
        <w:tc>
          <w:tcPr>
            <w:tcW w:w="3828" w:type="dxa"/>
            <w:noWrap w:val="0"/>
            <w:vAlign w:val="center"/>
          </w:tcPr>
          <w:p>
            <w:pPr>
              <w:spacing w:line="360" w:lineRule="exact"/>
              <w:outlineLvl w:val="2"/>
              <w:rPr>
                <w:rFonts w:hint="eastAsia" w:ascii="仿宋_GB2312" w:eastAsia="仿宋_GB2312"/>
                <w:color w:val="000000"/>
                <w:sz w:val="24"/>
                <w:szCs w:val="24"/>
              </w:rPr>
            </w:pPr>
            <w:r>
              <w:rPr>
                <w:rFonts w:hint="eastAsia" w:ascii="仿宋_GB2312" w:eastAsia="仿宋_GB2312"/>
                <w:color w:val="000000"/>
                <w:sz w:val="24"/>
                <w:szCs w:val="24"/>
              </w:rPr>
              <w:t>（20）化工园区应能保障双电源供电。供电应满足化工园区各企业和化工园区配套设施生产、生活和应急用电需求，电源可靠。</w:t>
            </w:r>
          </w:p>
        </w:tc>
        <w:tc>
          <w:tcPr>
            <w:tcW w:w="4520" w:type="dxa"/>
            <w:noWrap w:val="0"/>
            <w:vAlign w:val="top"/>
          </w:tcPr>
          <w:p>
            <w:pPr>
              <w:spacing w:line="360" w:lineRule="exact"/>
              <w:outlineLvl w:val="2"/>
              <w:rPr>
                <w:rFonts w:hint="eastAsia" w:ascii="仿宋_GB2312" w:eastAsia="仿宋_GB2312"/>
                <w:color w:val="000000"/>
                <w:sz w:val="24"/>
                <w:szCs w:val="24"/>
              </w:rPr>
            </w:pPr>
            <w:r>
              <w:rPr>
                <w:rFonts w:hint="eastAsia" w:ascii="仿宋_GB2312" w:hAnsi="Times New Roman" w:eastAsia="仿宋_GB2312"/>
                <w:color w:val="000000"/>
                <w:sz w:val="24"/>
                <w:szCs w:val="24"/>
              </w:rPr>
              <w:t>0分</w:t>
            </w:r>
            <w:r>
              <w:rPr>
                <w:rFonts w:hint="eastAsia" w:ascii="仿宋_GB2312" w:eastAsia="仿宋_GB2312"/>
                <w:color w:val="000000"/>
                <w:sz w:val="24"/>
                <w:szCs w:val="24"/>
              </w:rPr>
              <w:t>-供电不满足保障双电源供电；</w:t>
            </w:r>
          </w:p>
          <w:p>
            <w:pPr>
              <w:snapToGrid w:val="0"/>
              <w:spacing w:line="360" w:lineRule="exact"/>
              <w:rPr>
                <w:rFonts w:hint="eastAsia" w:ascii="仿宋_GB2312" w:eastAsia="仿宋_GB2312"/>
                <w:color w:val="000000"/>
                <w:sz w:val="24"/>
                <w:szCs w:val="24"/>
              </w:rPr>
            </w:pPr>
            <w:r>
              <w:rPr>
                <w:rFonts w:hint="eastAsia" w:ascii="仿宋_GB2312" w:hAnsi="Times New Roman" w:eastAsia="仿宋_GB2312"/>
                <w:color w:val="000000"/>
                <w:sz w:val="24"/>
                <w:szCs w:val="24"/>
              </w:rPr>
              <w:t>5分-符合条件。</w:t>
            </w:r>
          </w:p>
        </w:tc>
        <w:tc>
          <w:tcPr>
            <w:tcW w:w="1148" w:type="dxa"/>
            <w:noWrap w:val="0"/>
            <w:vAlign w:val="top"/>
          </w:tcPr>
          <w:p>
            <w:pPr>
              <w:snapToGrid w:val="0"/>
              <w:spacing w:line="360" w:lineRule="exact"/>
              <w:rPr>
                <w:rFonts w:hint="eastAsia" w:ascii="仿宋_GB2312"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vMerge w:val="continue"/>
            <w:noWrap w:val="0"/>
            <w:vAlign w:val="center"/>
          </w:tcPr>
          <w:p>
            <w:pPr>
              <w:snapToGrid w:val="0"/>
              <w:spacing w:line="360" w:lineRule="exact"/>
              <w:jc w:val="center"/>
              <w:rPr>
                <w:rFonts w:ascii="仿宋_GB2312" w:eastAsia="仿宋_GB2312"/>
                <w:b/>
                <w:color w:val="000000"/>
                <w:sz w:val="24"/>
                <w:szCs w:val="24"/>
              </w:rPr>
            </w:pPr>
          </w:p>
        </w:tc>
        <w:tc>
          <w:tcPr>
            <w:tcW w:w="1559" w:type="dxa"/>
            <w:vMerge w:val="continue"/>
            <w:noWrap w:val="0"/>
            <w:vAlign w:val="center"/>
          </w:tcPr>
          <w:p>
            <w:pPr>
              <w:snapToGrid w:val="0"/>
              <w:spacing w:line="360" w:lineRule="exact"/>
              <w:jc w:val="center"/>
              <w:rPr>
                <w:rFonts w:ascii="仿宋_GB2312" w:eastAsia="仿宋_GB2312"/>
                <w:color w:val="000000"/>
                <w:sz w:val="24"/>
                <w:szCs w:val="24"/>
              </w:rPr>
            </w:pPr>
          </w:p>
        </w:tc>
        <w:tc>
          <w:tcPr>
            <w:tcW w:w="3828" w:type="dxa"/>
            <w:noWrap w:val="0"/>
            <w:vAlign w:val="center"/>
          </w:tcPr>
          <w:p>
            <w:pPr>
              <w:snapToGrid w:val="0"/>
              <w:spacing w:line="360" w:lineRule="exact"/>
              <w:rPr>
                <w:rFonts w:hint="eastAsia" w:ascii="仿宋_GB2312" w:eastAsia="仿宋_GB2312"/>
                <w:color w:val="000000"/>
                <w:sz w:val="24"/>
                <w:szCs w:val="24"/>
              </w:rPr>
            </w:pPr>
            <w:r>
              <w:rPr>
                <w:rFonts w:hint="eastAsia" w:ascii="仿宋_GB2312" w:eastAsia="仿宋_GB2312"/>
                <w:color w:val="000000"/>
                <w:sz w:val="24"/>
                <w:szCs w:val="24"/>
              </w:rPr>
              <w:t>（21）化工园区公用管廊应满足《化工园区公共管廊管理规程》（GB/T 36762）要求。</w:t>
            </w:r>
          </w:p>
        </w:tc>
        <w:tc>
          <w:tcPr>
            <w:tcW w:w="4520" w:type="dxa"/>
            <w:noWrap w:val="0"/>
            <w:vAlign w:val="top"/>
          </w:tcPr>
          <w:p>
            <w:pPr>
              <w:snapToGrid w:val="0"/>
              <w:spacing w:line="360" w:lineRule="exact"/>
              <w:rPr>
                <w:rFonts w:hint="eastAsia" w:ascii="仿宋_GB2312" w:eastAsia="仿宋_GB2312"/>
                <w:color w:val="000000"/>
                <w:sz w:val="24"/>
                <w:szCs w:val="24"/>
              </w:rPr>
            </w:pPr>
            <w:r>
              <w:rPr>
                <w:rFonts w:hint="eastAsia" w:ascii="仿宋_GB2312" w:hAnsi="Times New Roman" w:eastAsia="仿宋_GB2312"/>
                <w:color w:val="000000"/>
                <w:sz w:val="24"/>
                <w:szCs w:val="24"/>
              </w:rPr>
              <w:t>0分</w:t>
            </w:r>
            <w:r>
              <w:rPr>
                <w:rFonts w:hint="eastAsia" w:ascii="仿宋_GB2312" w:eastAsia="仿宋_GB2312"/>
                <w:color w:val="000000"/>
                <w:sz w:val="24"/>
                <w:szCs w:val="24"/>
              </w:rPr>
              <w:t>-未建设公用管廊；</w:t>
            </w:r>
          </w:p>
          <w:p>
            <w:pPr>
              <w:snapToGrid w:val="0"/>
              <w:spacing w:line="360" w:lineRule="exact"/>
              <w:rPr>
                <w:rFonts w:hint="eastAsia" w:ascii="仿宋_GB2312" w:eastAsia="仿宋_GB2312"/>
                <w:color w:val="000000"/>
                <w:sz w:val="24"/>
                <w:szCs w:val="24"/>
              </w:rPr>
            </w:pPr>
            <w:r>
              <w:rPr>
                <w:rFonts w:hint="eastAsia" w:ascii="仿宋_GB2312" w:hAnsi="Times New Roman" w:eastAsia="仿宋_GB2312"/>
                <w:color w:val="000000"/>
                <w:sz w:val="24"/>
                <w:szCs w:val="24"/>
              </w:rPr>
              <w:t>1分</w:t>
            </w:r>
            <w:r>
              <w:rPr>
                <w:rFonts w:hint="eastAsia" w:ascii="仿宋_GB2312" w:eastAsia="仿宋_GB2312"/>
                <w:color w:val="000000"/>
                <w:sz w:val="24"/>
                <w:szCs w:val="24"/>
              </w:rPr>
              <w:t>-建有公用管廊，但未按照《化工园区公共管廊管理规程》（GB/T 36762）要求建设；</w:t>
            </w:r>
          </w:p>
          <w:p>
            <w:pPr>
              <w:snapToGrid w:val="0"/>
              <w:spacing w:line="360" w:lineRule="exact"/>
              <w:rPr>
                <w:rFonts w:hint="eastAsia" w:ascii="仿宋_GB2312" w:eastAsia="仿宋_GB2312"/>
                <w:color w:val="000000"/>
                <w:sz w:val="24"/>
                <w:szCs w:val="24"/>
              </w:rPr>
            </w:pPr>
            <w:r>
              <w:rPr>
                <w:rFonts w:hint="eastAsia" w:ascii="仿宋_GB2312" w:hAnsi="Times New Roman" w:eastAsia="仿宋_GB2312"/>
                <w:color w:val="000000"/>
                <w:sz w:val="24"/>
                <w:szCs w:val="24"/>
              </w:rPr>
              <w:t>5分-符合条件。</w:t>
            </w:r>
          </w:p>
        </w:tc>
        <w:tc>
          <w:tcPr>
            <w:tcW w:w="1148" w:type="dxa"/>
            <w:noWrap w:val="0"/>
            <w:vAlign w:val="top"/>
          </w:tcPr>
          <w:p>
            <w:pPr>
              <w:snapToGrid w:val="0"/>
              <w:spacing w:line="360" w:lineRule="exact"/>
              <w:rPr>
                <w:rFonts w:hint="eastAsia" w:ascii="仿宋_GB2312"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vMerge w:val="continue"/>
            <w:noWrap w:val="0"/>
            <w:vAlign w:val="center"/>
          </w:tcPr>
          <w:p>
            <w:pPr>
              <w:snapToGrid w:val="0"/>
              <w:spacing w:line="360" w:lineRule="exact"/>
              <w:jc w:val="center"/>
              <w:rPr>
                <w:rFonts w:ascii="仿宋_GB2312" w:eastAsia="仿宋_GB2312"/>
                <w:b/>
                <w:color w:val="000000"/>
                <w:sz w:val="24"/>
                <w:szCs w:val="24"/>
              </w:rPr>
            </w:pPr>
          </w:p>
        </w:tc>
        <w:tc>
          <w:tcPr>
            <w:tcW w:w="1559" w:type="dxa"/>
            <w:vMerge w:val="continue"/>
            <w:noWrap w:val="0"/>
            <w:vAlign w:val="center"/>
          </w:tcPr>
          <w:p>
            <w:pPr>
              <w:snapToGrid w:val="0"/>
              <w:spacing w:line="360" w:lineRule="exact"/>
              <w:jc w:val="center"/>
              <w:rPr>
                <w:rFonts w:ascii="仿宋_GB2312" w:eastAsia="仿宋_GB2312"/>
                <w:color w:val="000000"/>
                <w:sz w:val="24"/>
                <w:szCs w:val="24"/>
              </w:rPr>
            </w:pPr>
          </w:p>
        </w:tc>
        <w:tc>
          <w:tcPr>
            <w:tcW w:w="3828" w:type="dxa"/>
            <w:noWrap w:val="0"/>
            <w:vAlign w:val="center"/>
          </w:tcPr>
          <w:p>
            <w:pPr>
              <w:spacing w:line="360" w:lineRule="exact"/>
              <w:outlineLvl w:val="2"/>
              <w:rPr>
                <w:rFonts w:hint="eastAsia" w:ascii="仿宋_GB2312" w:eastAsia="仿宋_GB2312"/>
                <w:color w:val="000000"/>
                <w:sz w:val="24"/>
                <w:szCs w:val="24"/>
              </w:rPr>
            </w:pPr>
            <w:r>
              <w:rPr>
                <w:rFonts w:hint="eastAsia" w:ascii="仿宋_GB2312" w:eastAsia="仿宋_GB2312"/>
                <w:color w:val="000000"/>
                <w:sz w:val="24"/>
                <w:szCs w:val="24"/>
              </w:rPr>
              <w:t>（22）化工园区应运用物联网等先进技术对危险化学品运输车辆进出化工园区进行实时监控，实行专用道路、专用车道和限时限速行驶等措施，由化工园区实施统一管理，严格管控运输安全风险。有危险化学品车辆聚集较大安全风险的化工园区应建设危险化学品车辆专用停车场。</w:t>
            </w:r>
          </w:p>
        </w:tc>
        <w:tc>
          <w:tcPr>
            <w:tcW w:w="4520" w:type="dxa"/>
            <w:noWrap w:val="0"/>
            <w:vAlign w:val="top"/>
          </w:tcPr>
          <w:p>
            <w:pPr>
              <w:snapToGrid w:val="0"/>
              <w:spacing w:line="360" w:lineRule="exact"/>
              <w:rPr>
                <w:rFonts w:hint="eastAsia" w:ascii="仿宋_GB2312" w:eastAsia="仿宋_GB2312"/>
                <w:color w:val="000000"/>
                <w:sz w:val="24"/>
                <w:szCs w:val="24"/>
              </w:rPr>
            </w:pPr>
            <w:r>
              <w:rPr>
                <w:rFonts w:hint="eastAsia" w:ascii="仿宋_GB2312" w:hAnsi="Times New Roman" w:eastAsia="仿宋_GB2312"/>
                <w:color w:val="000000"/>
                <w:sz w:val="24"/>
                <w:szCs w:val="24"/>
              </w:rPr>
              <w:t>0分</w:t>
            </w:r>
            <w:r>
              <w:rPr>
                <w:rFonts w:hint="eastAsia" w:ascii="仿宋_GB2312" w:eastAsia="仿宋_GB2312"/>
                <w:color w:val="000000"/>
                <w:sz w:val="24"/>
                <w:szCs w:val="24"/>
              </w:rPr>
              <w:t>-未对化工园区危险化学品运输车辆进出化工园区采用信息化手段实施统一管理，管控运输安全风险的；或有危险化学品车辆聚集较大安全风险的化工园区但未建设危险化学品车辆专用停车场；</w:t>
            </w:r>
          </w:p>
          <w:p>
            <w:pPr>
              <w:snapToGrid w:val="0"/>
              <w:spacing w:line="360" w:lineRule="exact"/>
              <w:rPr>
                <w:rFonts w:hint="eastAsia" w:ascii="仿宋_GB2312" w:eastAsia="仿宋_GB2312"/>
                <w:color w:val="000000"/>
                <w:sz w:val="24"/>
                <w:szCs w:val="24"/>
              </w:rPr>
            </w:pPr>
            <w:r>
              <w:rPr>
                <w:rFonts w:hint="eastAsia" w:ascii="仿宋_GB2312" w:eastAsia="仿宋_GB2312"/>
                <w:color w:val="000000"/>
                <w:sz w:val="24"/>
                <w:szCs w:val="24"/>
              </w:rPr>
              <w:t>1</w:t>
            </w:r>
            <w:r>
              <w:rPr>
                <w:rFonts w:hint="eastAsia" w:ascii="仿宋_GB2312" w:hAnsi="Times New Roman" w:eastAsia="仿宋_GB2312"/>
                <w:color w:val="000000"/>
                <w:sz w:val="24"/>
                <w:szCs w:val="24"/>
              </w:rPr>
              <w:t>分</w:t>
            </w:r>
            <w:r>
              <w:rPr>
                <w:rFonts w:hint="eastAsia" w:ascii="仿宋_GB2312" w:eastAsia="仿宋_GB2312"/>
                <w:color w:val="000000"/>
                <w:sz w:val="24"/>
                <w:szCs w:val="24"/>
              </w:rPr>
              <w:t>-有危险化学品车辆聚集较大安全风险的化工园区，未建设危险化学品车辆专用停车场，但对化工园区危险化学品运输车辆进出化工园区采用信息化手段实施统一管理，管控运输安全风险；</w:t>
            </w:r>
          </w:p>
          <w:p>
            <w:pPr>
              <w:snapToGrid w:val="0"/>
              <w:spacing w:line="360" w:lineRule="exact"/>
              <w:rPr>
                <w:rFonts w:hint="eastAsia" w:ascii="仿宋_GB2312" w:eastAsia="仿宋_GB2312"/>
                <w:color w:val="000000"/>
                <w:sz w:val="24"/>
                <w:szCs w:val="24"/>
              </w:rPr>
            </w:pPr>
            <w:r>
              <w:rPr>
                <w:rFonts w:hint="eastAsia" w:ascii="仿宋_GB2312" w:eastAsia="仿宋_GB2312"/>
                <w:color w:val="000000"/>
                <w:sz w:val="24"/>
                <w:szCs w:val="24"/>
              </w:rPr>
              <w:t>3分-没有危险化学品车辆聚集较大安全风险的化工园区，对化工园区危险化学品运输车辆进出化工园区采用信息化手段实施统一管理，管控运输安全风险；</w:t>
            </w:r>
          </w:p>
          <w:p>
            <w:pPr>
              <w:snapToGrid w:val="0"/>
              <w:spacing w:line="360" w:lineRule="exact"/>
              <w:rPr>
                <w:rFonts w:hint="eastAsia" w:ascii="仿宋_GB2312" w:eastAsia="仿宋_GB2312"/>
                <w:color w:val="000000"/>
                <w:sz w:val="24"/>
                <w:szCs w:val="24"/>
              </w:rPr>
            </w:pPr>
            <w:r>
              <w:rPr>
                <w:rFonts w:hint="eastAsia" w:ascii="仿宋_GB2312" w:hAnsi="Times New Roman" w:eastAsia="仿宋_GB2312"/>
                <w:color w:val="000000"/>
                <w:sz w:val="24"/>
                <w:szCs w:val="24"/>
              </w:rPr>
              <w:t>5分-符合条件。</w:t>
            </w:r>
          </w:p>
        </w:tc>
        <w:tc>
          <w:tcPr>
            <w:tcW w:w="1148" w:type="dxa"/>
            <w:noWrap w:val="0"/>
            <w:vAlign w:val="top"/>
          </w:tcPr>
          <w:p>
            <w:pPr>
              <w:snapToGrid w:val="0"/>
              <w:spacing w:line="360" w:lineRule="exact"/>
              <w:rPr>
                <w:rFonts w:hint="eastAsia" w:ascii="仿宋_GB2312"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vMerge w:val="continue"/>
            <w:noWrap w:val="0"/>
            <w:vAlign w:val="center"/>
          </w:tcPr>
          <w:p>
            <w:pPr>
              <w:snapToGrid w:val="0"/>
              <w:spacing w:line="360" w:lineRule="exact"/>
              <w:jc w:val="center"/>
              <w:rPr>
                <w:rFonts w:ascii="仿宋_GB2312" w:eastAsia="仿宋_GB2312"/>
                <w:b/>
                <w:color w:val="000000"/>
                <w:sz w:val="24"/>
                <w:szCs w:val="24"/>
              </w:rPr>
            </w:pPr>
          </w:p>
        </w:tc>
        <w:tc>
          <w:tcPr>
            <w:tcW w:w="1559" w:type="dxa"/>
            <w:vMerge w:val="continue"/>
            <w:noWrap w:val="0"/>
            <w:vAlign w:val="center"/>
          </w:tcPr>
          <w:p>
            <w:pPr>
              <w:snapToGrid w:val="0"/>
              <w:spacing w:line="360" w:lineRule="exact"/>
              <w:jc w:val="center"/>
              <w:rPr>
                <w:rFonts w:ascii="仿宋_GB2312" w:eastAsia="仿宋_GB2312"/>
                <w:color w:val="000000"/>
                <w:sz w:val="24"/>
                <w:szCs w:val="24"/>
              </w:rPr>
            </w:pPr>
          </w:p>
        </w:tc>
        <w:tc>
          <w:tcPr>
            <w:tcW w:w="3828" w:type="dxa"/>
            <w:noWrap w:val="0"/>
            <w:vAlign w:val="center"/>
          </w:tcPr>
          <w:p>
            <w:pPr>
              <w:snapToGrid w:val="0"/>
              <w:spacing w:line="360" w:lineRule="exact"/>
              <w:rPr>
                <w:rFonts w:hint="eastAsia" w:ascii="仿宋_GB2312" w:eastAsia="仿宋_GB2312"/>
                <w:color w:val="000000"/>
                <w:sz w:val="24"/>
                <w:szCs w:val="24"/>
              </w:rPr>
            </w:pPr>
            <w:r>
              <w:rPr>
                <w:rFonts w:hint="eastAsia" w:ascii="仿宋_GB2312" w:eastAsia="仿宋_GB2312"/>
                <w:color w:val="000000"/>
                <w:sz w:val="24"/>
                <w:szCs w:val="24"/>
              </w:rPr>
              <w:t>（23）化工园区应按照“分类控制、分级管理、分步实施”的要求，结合产业结构、产业链特点、安全风险类型等实际情况，实行封闭化管理。原则上要按照核心控制区、关键控制区、一般控制区的防护等级，通过采取不同的封闭监控管理手段，实行封闭化管理。化工园区应建立完善的门禁系统和视频监控系统，对易燃易爆、有毒有害化学品和危险废物等物料、人员、车辆进出实施全过程监管。</w:t>
            </w:r>
          </w:p>
        </w:tc>
        <w:tc>
          <w:tcPr>
            <w:tcW w:w="4520" w:type="dxa"/>
            <w:noWrap w:val="0"/>
            <w:vAlign w:val="top"/>
          </w:tcPr>
          <w:p>
            <w:pPr>
              <w:snapToGrid w:val="0"/>
              <w:spacing w:line="360" w:lineRule="exact"/>
              <w:rPr>
                <w:rFonts w:hint="eastAsia" w:ascii="仿宋_GB2312" w:eastAsia="仿宋_GB2312"/>
                <w:color w:val="000000"/>
                <w:sz w:val="24"/>
                <w:szCs w:val="24"/>
              </w:rPr>
            </w:pPr>
            <w:r>
              <w:rPr>
                <w:rFonts w:hint="eastAsia" w:ascii="仿宋_GB2312" w:hAnsi="Times New Roman" w:eastAsia="仿宋_GB2312"/>
                <w:color w:val="000000"/>
                <w:sz w:val="24"/>
                <w:szCs w:val="24"/>
              </w:rPr>
              <w:t>0分</w:t>
            </w:r>
            <w:r>
              <w:rPr>
                <w:rFonts w:hint="eastAsia" w:ascii="仿宋_GB2312" w:eastAsia="仿宋_GB2312"/>
                <w:color w:val="000000"/>
                <w:sz w:val="24"/>
                <w:szCs w:val="24"/>
              </w:rPr>
              <w:t>-未按照“分类控制、分级管理、分步实施”的要求实行化工园区封闭化管理，或未建立门禁系统和视频监控系统；</w:t>
            </w:r>
          </w:p>
          <w:p>
            <w:pPr>
              <w:snapToGrid w:val="0"/>
              <w:spacing w:line="360" w:lineRule="exact"/>
              <w:rPr>
                <w:rFonts w:hint="eastAsia" w:ascii="仿宋_GB2312" w:eastAsia="仿宋_GB2312"/>
                <w:color w:val="000000"/>
                <w:sz w:val="24"/>
                <w:szCs w:val="24"/>
              </w:rPr>
            </w:pPr>
            <w:r>
              <w:rPr>
                <w:rFonts w:hint="eastAsia" w:ascii="仿宋_GB2312" w:hAnsi="Times New Roman" w:eastAsia="仿宋_GB2312"/>
                <w:color w:val="000000"/>
                <w:sz w:val="24"/>
                <w:szCs w:val="24"/>
              </w:rPr>
              <w:t>1分</w:t>
            </w:r>
            <w:r>
              <w:rPr>
                <w:rFonts w:hint="eastAsia" w:ascii="仿宋_GB2312" w:eastAsia="仿宋_GB2312"/>
                <w:color w:val="000000"/>
                <w:sz w:val="24"/>
                <w:szCs w:val="24"/>
              </w:rPr>
              <w:t>-实行化工园区封闭化管理，但未建立门禁系统和视频监控系统；</w:t>
            </w:r>
          </w:p>
          <w:p>
            <w:pPr>
              <w:snapToGrid w:val="0"/>
              <w:spacing w:line="360" w:lineRule="exact"/>
              <w:rPr>
                <w:rFonts w:hint="eastAsia" w:ascii="仿宋_GB2312" w:eastAsia="仿宋_GB2312"/>
                <w:color w:val="000000"/>
                <w:sz w:val="24"/>
                <w:szCs w:val="24"/>
              </w:rPr>
            </w:pPr>
            <w:r>
              <w:rPr>
                <w:rFonts w:hint="eastAsia" w:ascii="仿宋_GB2312" w:eastAsia="仿宋_GB2312"/>
                <w:color w:val="000000"/>
                <w:sz w:val="24"/>
                <w:szCs w:val="24"/>
              </w:rPr>
              <w:t>3</w:t>
            </w:r>
            <w:r>
              <w:rPr>
                <w:rFonts w:hint="eastAsia" w:ascii="仿宋_GB2312" w:hAnsi="Times New Roman" w:eastAsia="仿宋_GB2312"/>
                <w:color w:val="000000"/>
                <w:sz w:val="24"/>
                <w:szCs w:val="24"/>
              </w:rPr>
              <w:t>分</w:t>
            </w:r>
            <w:r>
              <w:rPr>
                <w:rFonts w:hint="eastAsia" w:ascii="仿宋_GB2312" w:eastAsia="仿宋_GB2312"/>
                <w:color w:val="000000"/>
                <w:sz w:val="24"/>
                <w:szCs w:val="24"/>
              </w:rPr>
              <w:t>-对核心控制区、关键控制区实施封闭化管理，并建立门禁系统和视频监控系统，但未对易燃易爆、有毒有害化学品和危险废物等物料、人员、车辆进出实施全过程监管；</w:t>
            </w:r>
          </w:p>
          <w:p>
            <w:pPr>
              <w:snapToGrid w:val="0"/>
              <w:spacing w:line="360" w:lineRule="exact"/>
              <w:rPr>
                <w:rFonts w:hint="eastAsia" w:ascii="仿宋_GB2312" w:eastAsia="仿宋_GB2312"/>
                <w:color w:val="000000"/>
                <w:sz w:val="24"/>
                <w:szCs w:val="24"/>
              </w:rPr>
            </w:pPr>
            <w:r>
              <w:rPr>
                <w:rFonts w:hint="eastAsia" w:ascii="仿宋_GB2312" w:hAnsi="Times New Roman" w:eastAsia="仿宋_GB2312"/>
                <w:color w:val="000000"/>
                <w:sz w:val="24"/>
                <w:szCs w:val="24"/>
              </w:rPr>
              <w:t>5分-符合条件。</w:t>
            </w:r>
          </w:p>
        </w:tc>
        <w:tc>
          <w:tcPr>
            <w:tcW w:w="1148" w:type="dxa"/>
            <w:noWrap w:val="0"/>
            <w:vAlign w:val="top"/>
          </w:tcPr>
          <w:p>
            <w:pPr>
              <w:snapToGrid w:val="0"/>
              <w:spacing w:line="360" w:lineRule="exact"/>
              <w:rPr>
                <w:rFonts w:hint="eastAsia" w:ascii="仿宋_GB2312"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vMerge w:val="continue"/>
            <w:noWrap w:val="0"/>
            <w:vAlign w:val="center"/>
          </w:tcPr>
          <w:p>
            <w:pPr>
              <w:snapToGrid w:val="0"/>
              <w:spacing w:line="360" w:lineRule="exact"/>
              <w:jc w:val="center"/>
              <w:rPr>
                <w:rFonts w:ascii="仿宋_GB2312" w:eastAsia="仿宋_GB2312"/>
                <w:b/>
                <w:color w:val="000000"/>
                <w:sz w:val="24"/>
                <w:szCs w:val="24"/>
              </w:rPr>
            </w:pPr>
          </w:p>
        </w:tc>
        <w:tc>
          <w:tcPr>
            <w:tcW w:w="1559" w:type="dxa"/>
            <w:vMerge w:val="continue"/>
            <w:noWrap w:val="0"/>
            <w:vAlign w:val="center"/>
          </w:tcPr>
          <w:p>
            <w:pPr>
              <w:snapToGrid w:val="0"/>
              <w:spacing w:line="360" w:lineRule="exact"/>
              <w:jc w:val="center"/>
              <w:rPr>
                <w:rFonts w:ascii="仿宋_GB2312" w:eastAsia="仿宋_GB2312"/>
                <w:color w:val="000000"/>
                <w:sz w:val="24"/>
                <w:szCs w:val="24"/>
              </w:rPr>
            </w:pPr>
          </w:p>
        </w:tc>
        <w:tc>
          <w:tcPr>
            <w:tcW w:w="3828" w:type="dxa"/>
            <w:noWrap w:val="0"/>
            <w:vAlign w:val="center"/>
          </w:tcPr>
          <w:p>
            <w:pPr>
              <w:spacing w:line="360" w:lineRule="exact"/>
              <w:outlineLvl w:val="2"/>
              <w:rPr>
                <w:rFonts w:hint="eastAsia" w:ascii="仿宋_GB2312" w:eastAsia="仿宋_GB2312"/>
                <w:color w:val="000000"/>
                <w:sz w:val="24"/>
                <w:szCs w:val="24"/>
              </w:rPr>
            </w:pPr>
            <w:r>
              <w:rPr>
                <w:rFonts w:hint="eastAsia" w:ascii="仿宋_GB2312" w:eastAsia="仿宋_GB2312"/>
                <w:color w:val="000000"/>
                <w:sz w:val="24"/>
                <w:szCs w:val="24"/>
              </w:rPr>
              <w:t>（24）化工园区应按照国家标准规范要求，配套建设固体废物特别是危险废物集中处置设施，并实行专业化运营管理，对危险废物种类、产生量、流向、贮存、处置和转移等全链条的风险实施监督和管理。</w:t>
            </w:r>
          </w:p>
        </w:tc>
        <w:tc>
          <w:tcPr>
            <w:tcW w:w="4520" w:type="dxa"/>
            <w:noWrap w:val="0"/>
            <w:vAlign w:val="top"/>
          </w:tcPr>
          <w:p>
            <w:pPr>
              <w:snapToGrid w:val="0"/>
              <w:spacing w:line="360" w:lineRule="exact"/>
              <w:rPr>
                <w:rFonts w:hint="eastAsia" w:ascii="仿宋_GB2312" w:eastAsia="仿宋_GB2312"/>
                <w:color w:val="000000"/>
                <w:sz w:val="24"/>
                <w:szCs w:val="24"/>
              </w:rPr>
            </w:pPr>
            <w:r>
              <w:rPr>
                <w:rFonts w:hint="eastAsia" w:ascii="仿宋_GB2312" w:hAnsi="Times New Roman" w:eastAsia="仿宋_GB2312"/>
                <w:color w:val="000000"/>
                <w:sz w:val="24"/>
                <w:szCs w:val="24"/>
              </w:rPr>
              <w:t>0分</w:t>
            </w:r>
            <w:r>
              <w:rPr>
                <w:rFonts w:hint="eastAsia" w:ascii="仿宋_GB2312" w:eastAsia="仿宋_GB2312"/>
                <w:color w:val="000000"/>
                <w:sz w:val="24"/>
                <w:szCs w:val="24"/>
              </w:rPr>
              <w:t>-未按照国家标准规范要求，配套建设固体废物特别是危险废物集中处置设施，并实行专业化运营管理，对危险废物种类、产生量、流向、贮存、处置和转移等全链条的风险实施监督和管理。</w:t>
            </w:r>
          </w:p>
          <w:p>
            <w:pPr>
              <w:snapToGrid w:val="0"/>
              <w:spacing w:line="360" w:lineRule="exact"/>
              <w:rPr>
                <w:rFonts w:hint="eastAsia" w:ascii="仿宋_GB2312" w:eastAsia="仿宋_GB2312"/>
                <w:color w:val="000000"/>
                <w:sz w:val="24"/>
                <w:szCs w:val="24"/>
              </w:rPr>
            </w:pPr>
            <w:r>
              <w:rPr>
                <w:rFonts w:hint="eastAsia" w:ascii="仿宋_GB2312" w:hAnsi="Times New Roman" w:eastAsia="仿宋_GB2312"/>
                <w:color w:val="000000"/>
                <w:sz w:val="24"/>
                <w:szCs w:val="24"/>
              </w:rPr>
              <w:t>5分-符合条件。</w:t>
            </w:r>
          </w:p>
        </w:tc>
        <w:tc>
          <w:tcPr>
            <w:tcW w:w="1148" w:type="dxa"/>
            <w:noWrap w:val="0"/>
            <w:vAlign w:val="top"/>
          </w:tcPr>
          <w:p>
            <w:pPr>
              <w:snapToGrid w:val="0"/>
              <w:spacing w:line="360" w:lineRule="exact"/>
              <w:rPr>
                <w:rFonts w:hint="eastAsia" w:ascii="仿宋_GB2312"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vMerge w:val="continue"/>
            <w:noWrap w:val="0"/>
            <w:vAlign w:val="center"/>
          </w:tcPr>
          <w:p>
            <w:pPr>
              <w:snapToGrid w:val="0"/>
              <w:spacing w:line="360" w:lineRule="exact"/>
              <w:jc w:val="center"/>
              <w:rPr>
                <w:rFonts w:ascii="仿宋_GB2312" w:eastAsia="仿宋_GB2312"/>
                <w:b/>
                <w:color w:val="000000"/>
                <w:sz w:val="24"/>
                <w:szCs w:val="24"/>
              </w:rPr>
            </w:pPr>
          </w:p>
        </w:tc>
        <w:tc>
          <w:tcPr>
            <w:tcW w:w="1559" w:type="dxa"/>
            <w:vMerge w:val="continue"/>
            <w:noWrap w:val="0"/>
            <w:vAlign w:val="center"/>
          </w:tcPr>
          <w:p>
            <w:pPr>
              <w:snapToGrid w:val="0"/>
              <w:spacing w:line="360" w:lineRule="exact"/>
              <w:jc w:val="center"/>
              <w:rPr>
                <w:rFonts w:ascii="仿宋_GB2312" w:eastAsia="仿宋_GB2312"/>
                <w:color w:val="000000"/>
                <w:sz w:val="24"/>
                <w:szCs w:val="24"/>
              </w:rPr>
            </w:pPr>
          </w:p>
        </w:tc>
        <w:tc>
          <w:tcPr>
            <w:tcW w:w="3828" w:type="dxa"/>
            <w:noWrap w:val="0"/>
            <w:vAlign w:val="center"/>
          </w:tcPr>
          <w:p>
            <w:pPr>
              <w:spacing w:line="360" w:lineRule="exact"/>
              <w:outlineLvl w:val="2"/>
              <w:rPr>
                <w:rFonts w:hint="eastAsia" w:ascii="仿宋_GB2312" w:eastAsia="仿宋_GB2312"/>
                <w:color w:val="000000"/>
                <w:sz w:val="24"/>
                <w:szCs w:val="24"/>
              </w:rPr>
            </w:pPr>
            <w:r>
              <w:rPr>
                <w:rFonts w:hint="eastAsia" w:ascii="仿宋_GB2312" w:eastAsia="仿宋_GB2312"/>
                <w:color w:val="000000"/>
                <w:sz w:val="24"/>
                <w:szCs w:val="24"/>
              </w:rPr>
              <w:t>（25）</w:t>
            </w:r>
            <w:r>
              <w:rPr>
                <w:rFonts w:hint="eastAsia" w:ascii="仿宋_GB2312" w:hAnsi="仿宋" w:eastAsia="仿宋_GB2312"/>
                <w:color w:val="000000"/>
                <w:sz w:val="24"/>
                <w:szCs w:val="24"/>
              </w:rPr>
              <w:t>化工园区应合理分析和估算事故废水量，根据需求规划建设安全事故废水应急设施，确保安全事故发生时能满足废水处置要求。</w:t>
            </w:r>
          </w:p>
        </w:tc>
        <w:tc>
          <w:tcPr>
            <w:tcW w:w="4520" w:type="dxa"/>
            <w:noWrap w:val="0"/>
            <w:vAlign w:val="top"/>
          </w:tcPr>
          <w:p>
            <w:pPr>
              <w:snapToGrid w:val="0"/>
              <w:spacing w:line="360" w:lineRule="exact"/>
              <w:rPr>
                <w:rFonts w:hint="eastAsia" w:ascii="仿宋_GB2312" w:hAnsi="仿宋" w:eastAsia="仿宋_GB2312"/>
                <w:color w:val="000000"/>
                <w:sz w:val="24"/>
                <w:szCs w:val="24"/>
              </w:rPr>
            </w:pPr>
            <w:r>
              <w:rPr>
                <w:rFonts w:hint="eastAsia" w:ascii="仿宋_GB2312" w:hAnsi="Times New Roman" w:eastAsia="仿宋_GB2312"/>
                <w:color w:val="000000"/>
                <w:sz w:val="24"/>
                <w:szCs w:val="24"/>
              </w:rPr>
              <w:t>0分</w:t>
            </w:r>
            <w:r>
              <w:rPr>
                <w:rFonts w:hint="eastAsia" w:ascii="仿宋_GB2312" w:eastAsia="仿宋_GB2312"/>
                <w:color w:val="000000"/>
                <w:sz w:val="24"/>
                <w:szCs w:val="24"/>
              </w:rPr>
              <w:t>-未对化工园区安全</w:t>
            </w:r>
            <w:r>
              <w:rPr>
                <w:rFonts w:hint="eastAsia" w:ascii="仿宋_GB2312" w:hAnsi="仿宋" w:eastAsia="仿宋_GB2312"/>
                <w:color w:val="000000"/>
                <w:sz w:val="24"/>
                <w:szCs w:val="24"/>
              </w:rPr>
              <w:t>事故废水进行合理分析和估算，</w:t>
            </w:r>
            <w:r>
              <w:rPr>
                <w:rFonts w:hint="eastAsia" w:ascii="仿宋_GB2312" w:eastAsia="仿宋_GB2312"/>
                <w:color w:val="000000"/>
                <w:sz w:val="24"/>
                <w:szCs w:val="24"/>
              </w:rPr>
              <w:t>化工园区安全</w:t>
            </w:r>
            <w:r>
              <w:rPr>
                <w:rFonts w:hint="eastAsia" w:ascii="仿宋_GB2312" w:hAnsi="仿宋" w:eastAsia="仿宋_GB2312"/>
                <w:color w:val="000000"/>
                <w:sz w:val="24"/>
                <w:szCs w:val="24"/>
              </w:rPr>
              <w:t>事故发生时不能满足事故废水处置要求；</w:t>
            </w:r>
          </w:p>
          <w:p>
            <w:pPr>
              <w:snapToGrid w:val="0"/>
              <w:spacing w:line="360" w:lineRule="exact"/>
              <w:rPr>
                <w:rFonts w:hint="eastAsia" w:ascii="仿宋_GB2312" w:eastAsia="仿宋_GB2312"/>
                <w:color w:val="000000"/>
                <w:sz w:val="24"/>
                <w:szCs w:val="24"/>
              </w:rPr>
            </w:pPr>
            <w:r>
              <w:rPr>
                <w:rFonts w:hint="eastAsia" w:ascii="仿宋_GB2312" w:eastAsia="仿宋_GB2312"/>
                <w:color w:val="000000"/>
                <w:sz w:val="24"/>
                <w:szCs w:val="24"/>
              </w:rPr>
              <w:t>1分-对化工园区安全</w:t>
            </w:r>
            <w:r>
              <w:rPr>
                <w:rFonts w:hint="eastAsia" w:ascii="仿宋_GB2312" w:hAnsi="仿宋" w:eastAsia="仿宋_GB2312"/>
                <w:color w:val="000000"/>
                <w:sz w:val="24"/>
                <w:szCs w:val="24"/>
              </w:rPr>
              <w:t>事故废水进行了合理分析和估算，</w:t>
            </w:r>
            <w:r>
              <w:rPr>
                <w:rFonts w:hint="eastAsia" w:ascii="仿宋_GB2312" w:eastAsia="仿宋_GB2312"/>
                <w:color w:val="000000"/>
                <w:sz w:val="24"/>
                <w:szCs w:val="24"/>
              </w:rPr>
              <w:t>化工园区安全</w:t>
            </w:r>
            <w:r>
              <w:rPr>
                <w:rFonts w:hint="eastAsia" w:ascii="仿宋_GB2312" w:hAnsi="仿宋" w:eastAsia="仿宋_GB2312"/>
                <w:color w:val="000000"/>
                <w:sz w:val="24"/>
                <w:szCs w:val="24"/>
              </w:rPr>
              <w:t>事故发生时基本能满足废水处置要求，但未规划建设安全事故废水应急设施；</w:t>
            </w:r>
          </w:p>
          <w:p>
            <w:pPr>
              <w:spacing w:line="360" w:lineRule="exact"/>
              <w:outlineLvl w:val="2"/>
              <w:rPr>
                <w:rFonts w:hint="eastAsia" w:ascii="仿宋_GB2312" w:eastAsia="仿宋_GB2312"/>
                <w:color w:val="000000"/>
                <w:sz w:val="24"/>
                <w:szCs w:val="24"/>
              </w:rPr>
            </w:pPr>
            <w:r>
              <w:rPr>
                <w:rFonts w:hint="eastAsia" w:ascii="仿宋_GB2312" w:hAnsi="Times New Roman" w:eastAsia="仿宋_GB2312"/>
                <w:color w:val="000000"/>
                <w:sz w:val="24"/>
                <w:szCs w:val="24"/>
              </w:rPr>
              <w:t>5分-符合条件。</w:t>
            </w:r>
          </w:p>
        </w:tc>
        <w:tc>
          <w:tcPr>
            <w:tcW w:w="1148" w:type="dxa"/>
            <w:noWrap w:val="0"/>
            <w:vAlign w:val="top"/>
          </w:tcPr>
          <w:p>
            <w:pPr>
              <w:spacing w:line="360" w:lineRule="exact"/>
              <w:outlineLvl w:val="2"/>
              <w:rPr>
                <w:rFonts w:hint="eastAsia" w:ascii="仿宋_GB2312"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vMerge w:val="restart"/>
            <w:noWrap w:val="0"/>
            <w:vAlign w:val="center"/>
          </w:tcPr>
          <w:p>
            <w:pPr>
              <w:snapToGrid w:val="0"/>
              <w:spacing w:line="360" w:lineRule="exact"/>
              <w:jc w:val="center"/>
              <w:rPr>
                <w:rFonts w:ascii="仿宋_GB2312" w:eastAsia="仿宋_GB2312"/>
                <w:b/>
                <w:color w:val="000000"/>
                <w:sz w:val="24"/>
                <w:szCs w:val="24"/>
              </w:rPr>
            </w:pPr>
            <w:r>
              <w:rPr>
                <w:rFonts w:hint="eastAsia" w:ascii="仿宋_GB2312" w:eastAsia="仿宋_GB2312"/>
                <w:b/>
                <w:color w:val="000000"/>
                <w:sz w:val="24"/>
                <w:szCs w:val="24"/>
              </w:rPr>
              <w:t>6</w:t>
            </w:r>
          </w:p>
        </w:tc>
        <w:tc>
          <w:tcPr>
            <w:tcW w:w="1559" w:type="dxa"/>
            <w:vMerge w:val="restart"/>
            <w:noWrap w:val="0"/>
            <w:vAlign w:val="center"/>
          </w:tcPr>
          <w:p>
            <w:pPr>
              <w:snapToGrid w:val="0"/>
              <w:spacing w:line="360" w:lineRule="exact"/>
              <w:jc w:val="center"/>
              <w:rPr>
                <w:rFonts w:ascii="仿宋_GB2312" w:eastAsia="仿宋_GB2312"/>
                <w:b/>
                <w:color w:val="000000"/>
                <w:sz w:val="24"/>
                <w:szCs w:val="24"/>
              </w:rPr>
            </w:pPr>
            <w:r>
              <w:rPr>
                <w:rFonts w:hint="eastAsia" w:ascii="仿宋_GB2312" w:eastAsia="仿宋_GB2312"/>
                <w:b/>
                <w:color w:val="000000"/>
                <w:sz w:val="24"/>
                <w:szCs w:val="24"/>
              </w:rPr>
              <w:t>一体化安全管理及应急救援</w:t>
            </w:r>
          </w:p>
          <w:p>
            <w:pPr>
              <w:snapToGrid w:val="0"/>
              <w:spacing w:line="360" w:lineRule="exact"/>
              <w:jc w:val="center"/>
              <w:rPr>
                <w:rFonts w:ascii="仿宋_GB2312" w:eastAsia="仿宋_GB2312"/>
                <w:color w:val="000000"/>
                <w:sz w:val="24"/>
                <w:szCs w:val="24"/>
              </w:rPr>
            </w:pPr>
            <w:r>
              <w:rPr>
                <w:rFonts w:hint="eastAsia" w:ascii="仿宋_GB2312" w:eastAsia="仿宋_GB2312"/>
                <w:b/>
                <w:color w:val="000000"/>
                <w:sz w:val="24"/>
                <w:szCs w:val="24"/>
              </w:rPr>
              <w:t>（35分）</w:t>
            </w:r>
          </w:p>
        </w:tc>
        <w:tc>
          <w:tcPr>
            <w:tcW w:w="3828" w:type="dxa"/>
            <w:noWrap w:val="0"/>
            <w:vAlign w:val="center"/>
          </w:tcPr>
          <w:p>
            <w:pPr>
              <w:snapToGrid w:val="0"/>
              <w:spacing w:line="360" w:lineRule="exact"/>
              <w:rPr>
                <w:rFonts w:hint="eastAsia" w:ascii="仿宋_GB2312" w:eastAsia="仿宋_GB2312"/>
                <w:color w:val="000000"/>
                <w:sz w:val="24"/>
                <w:szCs w:val="24"/>
              </w:rPr>
            </w:pPr>
            <w:r>
              <w:rPr>
                <w:rFonts w:hint="eastAsia" w:ascii="仿宋_GB2312" w:eastAsia="仿宋_GB2312"/>
                <w:color w:val="000000"/>
                <w:sz w:val="24"/>
                <w:szCs w:val="24"/>
              </w:rPr>
              <w:t>（26）</w:t>
            </w:r>
            <w:r>
              <w:rPr>
                <w:rFonts w:hint="eastAsia" w:ascii="仿宋_GB2312" w:hAnsi="仿宋" w:eastAsia="仿宋_GB2312"/>
                <w:color w:val="000000"/>
                <w:sz w:val="24"/>
                <w:szCs w:val="24"/>
              </w:rPr>
              <w:t>化工园区所在地方人民政府应明确化工园区安全生产和应急管理机构，实施安全生产与应急一体化管理，建立健全行业监管、协同执法和应急救援的联动机制，协调解决化工园区内企业之间的安全生产重大问题，统筹指挥化工园区的应急救援工作，指导企业落实安全生产主体责任，全面加强安全生产和应急管理工作。</w:t>
            </w:r>
          </w:p>
        </w:tc>
        <w:tc>
          <w:tcPr>
            <w:tcW w:w="4520" w:type="dxa"/>
            <w:noWrap w:val="0"/>
            <w:vAlign w:val="top"/>
          </w:tcPr>
          <w:p>
            <w:pPr>
              <w:snapToGrid w:val="0"/>
              <w:spacing w:line="360" w:lineRule="exact"/>
              <w:rPr>
                <w:rFonts w:hint="eastAsia" w:ascii="仿宋_GB2312" w:eastAsia="仿宋_GB2312"/>
                <w:color w:val="000000"/>
                <w:sz w:val="24"/>
                <w:szCs w:val="24"/>
              </w:rPr>
            </w:pPr>
            <w:r>
              <w:rPr>
                <w:rFonts w:hint="eastAsia" w:ascii="仿宋_GB2312" w:hAnsi="Times New Roman" w:eastAsia="仿宋_GB2312"/>
                <w:color w:val="000000"/>
                <w:sz w:val="24"/>
                <w:szCs w:val="24"/>
              </w:rPr>
              <w:t>0分</w:t>
            </w:r>
            <w:r>
              <w:rPr>
                <w:rFonts w:hint="eastAsia" w:ascii="仿宋_GB2312" w:eastAsia="仿宋_GB2312"/>
                <w:color w:val="000000"/>
                <w:sz w:val="24"/>
                <w:szCs w:val="24"/>
              </w:rPr>
              <w:t>-未</w:t>
            </w:r>
            <w:r>
              <w:rPr>
                <w:rFonts w:hint="eastAsia" w:ascii="仿宋_GB2312" w:hAnsi="仿宋" w:eastAsia="仿宋_GB2312"/>
                <w:color w:val="000000"/>
                <w:sz w:val="24"/>
                <w:szCs w:val="24"/>
              </w:rPr>
              <w:t>明确化工园区安全生产和应急管理机构；</w:t>
            </w:r>
          </w:p>
          <w:p>
            <w:pPr>
              <w:spacing w:line="360" w:lineRule="exact"/>
              <w:outlineLvl w:val="2"/>
              <w:rPr>
                <w:rFonts w:hint="eastAsia" w:ascii="仿宋_GB2312" w:hAnsi="仿宋" w:eastAsia="仿宋_GB2312"/>
                <w:color w:val="000000"/>
                <w:sz w:val="24"/>
                <w:szCs w:val="24"/>
              </w:rPr>
            </w:pPr>
            <w:r>
              <w:rPr>
                <w:rFonts w:hint="eastAsia" w:ascii="仿宋_GB2312" w:hAnsi="Times New Roman" w:eastAsia="仿宋_GB2312"/>
                <w:color w:val="000000"/>
                <w:sz w:val="24"/>
                <w:szCs w:val="24"/>
              </w:rPr>
              <w:t>1分-</w:t>
            </w:r>
            <w:r>
              <w:rPr>
                <w:rFonts w:hint="eastAsia" w:ascii="仿宋_GB2312" w:hAnsi="仿宋" w:eastAsia="仿宋_GB2312"/>
                <w:color w:val="000000"/>
                <w:sz w:val="24"/>
                <w:szCs w:val="24"/>
              </w:rPr>
              <w:t>明确了化工园区安全生产和应急管理机构，但未实施安全生产与应急一体化管理；</w:t>
            </w:r>
          </w:p>
          <w:p>
            <w:pPr>
              <w:spacing w:line="360" w:lineRule="exact"/>
              <w:outlineLvl w:val="2"/>
              <w:rPr>
                <w:rFonts w:hint="eastAsia" w:ascii="仿宋_GB2312" w:hAnsi="Times New Roman" w:eastAsia="仿宋_GB2312"/>
                <w:color w:val="000000"/>
                <w:sz w:val="24"/>
                <w:szCs w:val="24"/>
              </w:rPr>
            </w:pPr>
            <w:r>
              <w:rPr>
                <w:rFonts w:hint="eastAsia" w:ascii="仿宋_GB2312" w:hAnsi="Times New Roman" w:eastAsia="仿宋_GB2312"/>
                <w:color w:val="000000"/>
                <w:sz w:val="24"/>
                <w:szCs w:val="24"/>
              </w:rPr>
              <w:t>3分-</w:t>
            </w:r>
            <w:r>
              <w:rPr>
                <w:rFonts w:hint="eastAsia" w:ascii="仿宋_GB2312" w:hAnsi="仿宋" w:eastAsia="仿宋_GB2312"/>
                <w:color w:val="000000"/>
                <w:sz w:val="24"/>
                <w:szCs w:val="24"/>
              </w:rPr>
              <w:t>明确了化工园区安全生产和应急管理机构，实施了安全生产与应急一体化管理，但未建立健全行业监管、协同执法和应急救援的联动机制；</w:t>
            </w:r>
          </w:p>
          <w:p>
            <w:pPr>
              <w:snapToGrid w:val="0"/>
              <w:spacing w:line="360" w:lineRule="exact"/>
              <w:rPr>
                <w:rFonts w:hint="eastAsia" w:ascii="仿宋_GB2312" w:eastAsia="仿宋_GB2312"/>
                <w:color w:val="000000"/>
                <w:sz w:val="24"/>
                <w:szCs w:val="24"/>
              </w:rPr>
            </w:pPr>
            <w:r>
              <w:rPr>
                <w:rFonts w:hint="eastAsia" w:ascii="仿宋_GB2312" w:hAnsi="Times New Roman" w:eastAsia="仿宋_GB2312"/>
                <w:color w:val="000000"/>
                <w:sz w:val="24"/>
                <w:szCs w:val="24"/>
              </w:rPr>
              <w:t>5分-符合条件。</w:t>
            </w:r>
          </w:p>
        </w:tc>
        <w:tc>
          <w:tcPr>
            <w:tcW w:w="1148" w:type="dxa"/>
            <w:noWrap w:val="0"/>
            <w:vAlign w:val="top"/>
          </w:tcPr>
          <w:p>
            <w:pPr>
              <w:snapToGrid w:val="0"/>
              <w:spacing w:line="360" w:lineRule="exact"/>
              <w:rPr>
                <w:rFonts w:hint="eastAsia" w:ascii="仿宋_GB2312"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vMerge w:val="continue"/>
            <w:noWrap w:val="0"/>
            <w:vAlign w:val="center"/>
          </w:tcPr>
          <w:p>
            <w:pPr>
              <w:snapToGrid w:val="0"/>
              <w:spacing w:line="360" w:lineRule="exact"/>
              <w:jc w:val="center"/>
              <w:rPr>
                <w:rFonts w:ascii="仿宋_GB2312" w:eastAsia="仿宋_GB2312"/>
                <w:b/>
                <w:color w:val="000000"/>
                <w:sz w:val="24"/>
                <w:szCs w:val="24"/>
              </w:rPr>
            </w:pPr>
          </w:p>
        </w:tc>
        <w:tc>
          <w:tcPr>
            <w:tcW w:w="1559" w:type="dxa"/>
            <w:vMerge w:val="continue"/>
            <w:noWrap w:val="0"/>
            <w:vAlign w:val="center"/>
          </w:tcPr>
          <w:p>
            <w:pPr>
              <w:snapToGrid w:val="0"/>
              <w:spacing w:line="360" w:lineRule="exact"/>
              <w:jc w:val="center"/>
              <w:rPr>
                <w:rFonts w:ascii="仿宋_GB2312" w:eastAsia="仿宋_GB2312"/>
                <w:color w:val="000000"/>
                <w:sz w:val="24"/>
                <w:szCs w:val="24"/>
              </w:rPr>
            </w:pPr>
          </w:p>
        </w:tc>
        <w:tc>
          <w:tcPr>
            <w:tcW w:w="3828" w:type="dxa"/>
            <w:noWrap w:val="0"/>
            <w:vAlign w:val="center"/>
          </w:tcPr>
          <w:p>
            <w:pPr>
              <w:spacing w:line="360" w:lineRule="exact"/>
              <w:outlineLvl w:val="2"/>
              <w:rPr>
                <w:rFonts w:hint="eastAsia" w:ascii="仿宋_GB2312" w:eastAsia="仿宋_GB2312"/>
                <w:color w:val="000000"/>
                <w:sz w:val="24"/>
                <w:szCs w:val="24"/>
              </w:rPr>
            </w:pPr>
            <w:r>
              <w:rPr>
                <w:rFonts w:hint="eastAsia" w:ascii="仿宋_GB2312" w:eastAsia="仿宋_GB2312"/>
                <w:color w:val="000000"/>
                <w:sz w:val="24"/>
                <w:szCs w:val="24"/>
              </w:rPr>
              <w:t>（27）</w:t>
            </w:r>
            <w:r>
              <w:rPr>
                <w:rFonts w:hint="eastAsia" w:ascii="仿宋_GB2312" w:hAnsi="仿宋" w:eastAsia="仿宋_GB2312"/>
                <w:color w:val="000000"/>
                <w:sz w:val="24"/>
                <w:szCs w:val="24"/>
              </w:rPr>
              <w:t>化工园区应根据企业数量、产业特点、整体风险状况，配备满足安全监管需要的人员，其中具有相关化工专业学历或化工安全生产实践经历的人员或注册安全工程师的人员数量不低于安全监管人员的75%。</w:t>
            </w:r>
          </w:p>
        </w:tc>
        <w:tc>
          <w:tcPr>
            <w:tcW w:w="4520" w:type="dxa"/>
            <w:noWrap w:val="0"/>
            <w:vAlign w:val="top"/>
          </w:tcPr>
          <w:p>
            <w:pPr>
              <w:snapToGrid w:val="0"/>
              <w:spacing w:line="360" w:lineRule="exact"/>
              <w:rPr>
                <w:rFonts w:hint="eastAsia" w:ascii="仿宋_GB2312" w:eastAsia="仿宋_GB2312"/>
                <w:color w:val="000000"/>
                <w:sz w:val="24"/>
                <w:szCs w:val="24"/>
              </w:rPr>
            </w:pPr>
            <w:r>
              <w:rPr>
                <w:rFonts w:hint="eastAsia" w:ascii="仿宋_GB2312" w:hAnsi="Times New Roman" w:eastAsia="仿宋_GB2312"/>
                <w:color w:val="000000"/>
                <w:sz w:val="24"/>
                <w:szCs w:val="24"/>
              </w:rPr>
              <w:t>0分</w:t>
            </w:r>
            <w:r>
              <w:rPr>
                <w:rFonts w:hint="eastAsia" w:ascii="仿宋_GB2312" w:eastAsia="仿宋_GB2312"/>
                <w:color w:val="000000"/>
                <w:sz w:val="24"/>
                <w:szCs w:val="24"/>
              </w:rPr>
              <w:t>-</w:t>
            </w:r>
            <w:r>
              <w:rPr>
                <w:rFonts w:hint="eastAsia" w:ascii="仿宋_GB2312" w:hAnsi="仿宋" w:eastAsia="仿宋_GB2312"/>
                <w:color w:val="000000"/>
                <w:sz w:val="24"/>
                <w:szCs w:val="24"/>
              </w:rPr>
              <w:t>未配备具有相关化工专业学历或化工安全生产实践经历的人员或注册安全工程师等专业监管人员；</w:t>
            </w:r>
          </w:p>
          <w:p>
            <w:pPr>
              <w:spacing w:line="360" w:lineRule="exact"/>
              <w:outlineLvl w:val="2"/>
              <w:rPr>
                <w:rFonts w:hint="eastAsia" w:ascii="仿宋_GB2312" w:hAnsi="Times New Roman" w:eastAsia="仿宋_GB2312"/>
                <w:color w:val="000000"/>
                <w:sz w:val="24"/>
                <w:szCs w:val="24"/>
              </w:rPr>
            </w:pPr>
            <w:r>
              <w:rPr>
                <w:rFonts w:hint="eastAsia" w:ascii="仿宋_GB2312" w:hAnsi="Times New Roman" w:eastAsia="仿宋_GB2312"/>
                <w:color w:val="000000"/>
                <w:sz w:val="24"/>
                <w:szCs w:val="24"/>
              </w:rPr>
              <w:t>1分-</w:t>
            </w:r>
            <w:r>
              <w:rPr>
                <w:rFonts w:hint="eastAsia" w:ascii="仿宋_GB2312" w:hAnsi="仿宋" w:eastAsia="仿宋_GB2312"/>
                <w:color w:val="000000"/>
                <w:sz w:val="24"/>
                <w:szCs w:val="24"/>
              </w:rPr>
              <w:t>配备了具有相关化工专业学历或化工安全生产实践经历的人员或注册安全工程师等专业监管人员，但比例低于75%；</w:t>
            </w:r>
          </w:p>
          <w:p>
            <w:pPr>
              <w:spacing w:line="360" w:lineRule="exact"/>
              <w:outlineLvl w:val="2"/>
              <w:rPr>
                <w:rFonts w:hint="eastAsia" w:ascii="仿宋_GB2312" w:eastAsia="仿宋_GB2312"/>
                <w:color w:val="000000"/>
                <w:sz w:val="24"/>
                <w:szCs w:val="24"/>
              </w:rPr>
            </w:pPr>
            <w:r>
              <w:rPr>
                <w:rFonts w:hint="eastAsia" w:ascii="仿宋_GB2312" w:hAnsi="Times New Roman" w:eastAsia="仿宋_GB2312"/>
                <w:color w:val="000000"/>
                <w:sz w:val="24"/>
                <w:szCs w:val="24"/>
              </w:rPr>
              <w:t>5分-符合条件。</w:t>
            </w:r>
          </w:p>
        </w:tc>
        <w:tc>
          <w:tcPr>
            <w:tcW w:w="1148" w:type="dxa"/>
            <w:noWrap w:val="0"/>
            <w:vAlign w:val="top"/>
          </w:tcPr>
          <w:p>
            <w:pPr>
              <w:spacing w:line="360" w:lineRule="exact"/>
              <w:outlineLvl w:val="2"/>
              <w:rPr>
                <w:rFonts w:hint="eastAsia" w:ascii="仿宋_GB2312"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vMerge w:val="continue"/>
            <w:noWrap w:val="0"/>
            <w:vAlign w:val="center"/>
          </w:tcPr>
          <w:p>
            <w:pPr>
              <w:snapToGrid w:val="0"/>
              <w:spacing w:line="360" w:lineRule="exact"/>
              <w:jc w:val="center"/>
              <w:rPr>
                <w:rFonts w:ascii="仿宋_GB2312" w:eastAsia="仿宋_GB2312"/>
                <w:b/>
                <w:color w:val="000000"/>
                <w:sz w:val="24"/>
                <w:szCs w:val="24"/>
              </w:rPr>
            </w:pPr>
          </w:p>
        </w:tc>
        <w:tc>
          <w:tcPr>
            <w:tcW w:w="1559" w:type="dxa"/>
            <w:vMerge w:val="continue"/>
            <w:noWrap w:val="0"/>
            <w:vAlign w:val="center"/>
          </w:tcPr>
          <w:p>
            <w:pPr>
              <w:snapToGrid w:val="0"/>
              <w:spacing w:line="360" w:lineRule="exact"/>
              <w:jc w:val="center"/>
              <w:rPr>
                <w:rFonts w:ascii="仿宋_GB2312" w:eastAsia="仿宋_GB2312"/>
                <w:color w:val="000000"/>
                <w:sz w:val="24"/>
                <w:szCs w:val="24"/>
              </w:rPr>
            </w:pPr>
          </w:p>
        </w:tc>
        <w:tc>
          <w:tcPr>
            <w:tcW w:w="3828" w:type="dxa"/>
            <w:noWrap w:val="0"/>
            <w:vAlign w:val="center"/>
          </w:tcPr>
          <w:p>
            <w:pPr>
              <w:spacing w:line="360" w:lineRule="exact"/>
              <w:outlineLvl w:val="2"/>
              <w:rPr>
                <w:rFonts w:hint="eastAsia" w:ascii="仿宋_GB2312" w:hAnsi="仿宋" w:eastAsia="仿宋_GB2312"/>
                <w:color w:val="000000"/>
                <w:sz w:val="24"/>
                <w:szCs w:val="24"/>
              </w:rPr>
            </w:pPr>
            <w:r>
              <w:rPr>
                <w:rFonts w:hint="eastAsia" w:ascii="仿宋_GB2312" w:hAnsi="仿宋" w:eastAsia="仿宋_GB2312"/>
                <w:color w:val="000000"/>
                <w:sz w:val="24"/>
                <w:szCs w:val="24"/>
              </w:rPr>
              <w:t>（28）化工园区应按照国家有关要求，制定安全风险分级管控制度，对化工园区内企业进行安全风险分级，加强对红色、橙色安全风险的分析、评估、预警。</w:t>
            </w:r>
          </w:p>
        </w:tc>
        <w:tc>
          <w:tcPr>
            <w:tcW w:w="4520" w:type="dxa"/>
            <w:noWrap w:val="0"/>
            <w:vAlign w:val="top"/>
          </w:tcPr>
          <w:p>
            <w:pPr>
              <w:snapToGrid w:val="0"/>
              <w:spacing w:line="360" w:lineRule="exact"/>
              <w:rPr>
                <w:rFonts w:hint="eastAsia" w:ascii="仿宋_GB2312" w:eastAsia="仿宋_GB2312"/>
                <w:color w:val="000000"/>
                <w:sz w:val="24"/>
                <w:szCs w:val="24"/>
              </w:rPr>
            </w:pPr>
            <w:r>
              <w:rPr>
                <w:rFonts w:hint="eastAsia" w:ascii="仿宋_GB2312" w:hAnsi="Times New Roman" w:eastAsia="仿宋_GB2312"/>
                <w:color w:val="000000"/>
                <w:sz w:val="24"/>
                <w:szCs w:val="24"/>
              </w:rPr>
              <w:t>0分</w:t>
            </w:r>
            <w:r>
              <w:rPr>
                <w:rFonts w:hint="eastAsia" w:ascii="仿宋_GB2312" w:eastAsia="仿宋_GB2312"/>
                <w:color w:val="000000"/>
                <w:sz w:val="24"/>
                <w:szCs w:val="24"/>
              </w:rPr>
              <w:t>-未</w:t>
            </w:r>
            <w:r>
              <w:rPr>
                <w:rFonts w:hint="eastAsia" w:ascii="仿宋_GB2312" w:hAnsi="仿宋" w:eastAsia="仿宋_GB2312"/>
                <w:color w:val="000000"/>
                <w:sz w:val="24"/>
                <w:szCs w:val="24"/>
              </w:rPr>
              <w:t>按照国家有关要求，对化工园区内企业进行安全风险分级，并制定安全风险分级管控制度；</w:t>
            </w:r>
          </w:p>
          <w:p>
            <w:pPr>
              <w:spacing w:line="360" w:lineRule="exact"/>
              <w:outlineLvl w:val="2"/>
              <w:rPr>
                <w:rFonts w:hint="eastAsia" w:ascii="仿宋_GB2312" w:hAnsi="Times New Roman" w:eastAsia="仿宋_GB2312"/>
                <w:color w:val="000000"/>
                <w:sz w:val="24"/>
                <w:szCs w:val="24"/>
              </w:rPr>
            </w:pPr>
            <w:r>
              <w:rPr>
                <w:rFonts w:hint="eastAsia" w:ascii="仿宋_GB2312" w:hAnsi="Times New Roman" w:eastAsia="仿宋_GB2312"/>
                <w:color w:val="000000"/>
                <w:sz w:val="24"/>
                <w:szCs w:val="24"/>
              </w:rPr>
              <w:t>5分-符合条件。</w:t>
            </w:r>
          </w:p>
        </w:tc>
        <w:tc>
          <w:tcPr>
            <w:tcW w:w="1148" w:type="dxa"/>
            <w:noWrap w:val="0"/>
            <w:vAlign w:val="top"/>
          </w:tcPr>
          <w:p>
            <w:pPr>
              <w:spacing w:line="360" w:lineRule="exact"/>
              <w:outlineLvl w:val="2"/>
              <w:rPr>
                <w:rFonts w:hint="eastAsia" w:ascii="仿宋_GB2312" w:hAnsi="Times New Roman"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vMerge w:val="continue"/>
            <w:noWrap w:val="0"/>
            <w:vAlign w:val="center"/>
          </w:tcPr>
          <w:p>
            <w:pPr>
              <w:snapToGrid w:val="0"/>
              <w:spacing w:line="360" w:lineRule="exact"/>
              <w:jc w:val="center"/>
              <w:rPr>
                <w:rFonts w:ascii="仿宋_GB2312" w:eastAsia="仿宋_GB2312"/>
                <w:b/>
                <w:color w:val="000000"/>
                <w:sz w:val="24"/>
                <w:szCs w:val="24"/>
              </w:rPr>
            </w:pPr>
          </w:p>
        </w:tc>
        <w:tc>
          <w:tcPr>
            <w:tcW w:w="1559" w:type="dxa"/>
            <w:vMerge w:val="continue"/>
            <w:noWrap w:val="0"/>
            <w:vAlign w:val="center"/>
          </w:tcPr>
          <w:p>
            <w:pPr>
              <w:snapToGrid w:val="0"/>
              <w:spacing w:line="360" w:lineRule="exact"/>
              <w:jc w:val="center"/>
              <w:rPr>
                <w:rFonts w:ascii="仿宋_GB2312" w:eastAsia="仿宋_GB2312"/>
                <w:color w:val="000000"/>
                <w:sz w:val="24"/>
                <w:szCs w:val="24"/>
              </w:rPr>
            </w:pPr>
          </w:p>
        </w:tc>
        <w:tc>
          <w:tcPr>
            <w:tcW w:w="3828" w:type="dxa"/>
            <w:noWrap w:val="0"/>
            <w:vAlign w:val="center"/>
          </w:tcPr>
          <w:p>
            <w:pPr>
              <w:spacing w:line="360" w:lineRule="exact"/>
              <w:outlineLvl w:val="2"/>
              <w:rPr>
                <w:rFonts w:hint="eastAsia" w:ascii="仿宋_GB2312" w:hAnsi="仿宋" w:eastAsia="仿宋_GB2312"/>
                <w:color w:val="000000"/>
                <w:sz w:val="24"/>
                <w:szCs w:val="24"/>
              </w:rPr>
            </w:pPr>
            <w:r>
              <w:rPr>
                <w:rFonts w:hint="eastAsia" w:ascii="仿宋_GB2312" w:hAnsi="仿宋" w:eastAsia="仿宋_GB2312"/>
                <w:color w:val="000000"/>
                <w:sz w:val="24"/>
                <w:szCs w:val="24"/>
              </w:rPr>
              <w:t>（29）化工园区应根据国家有关要求，建设化工园区安全监管和应急救援信息平台，实现危险化学品重大危险源在线监测监控，企业安全生产风险动态预警和分级推送，对化工园区内重点企业、重点场所、基础设施进行在线实时管控。</w:t>
            </w:r>
          </w:p>
        </w:tc>
        <w:tc>
          <w:tcPr>
            <w:tcW w:w="4520" w:type="dxa"/>
            <w:noWrap w:val="0"/>
            <w:vAlign w:val="top"/>
          </w:tcPr>
          <w:p>
            <w:pPr>
              <w:snapToGrid w:val="0"/>
              <w:spacing w:line="360" w:lineRule="exact"/>
              <w:rPr>
                <w:rFonts w:hint="eastAsia" w:ascii="仿宋_GB2312" w:hAnsi="仿宋" w:eastAsia="仿宋_GB2312"/>
                <w:color w:val="000000"/>
                <w:sz w:val="24"/>
                <w:szCs w:val="24"/>
              </w:rPr>
            </w:pPr>
            <w:r>
              <w:rPr>
                <w:rFonts w:hint="eastAsia" w:ascii="仿宋_GB2312" w:hAnsi="Times New Roman" w:eastAsia="仿宋_GB2312"/>
                <w:color w:val="000000"/>
                <w:sz w:val="24"/>
                <w:szCs w:val="24"/>
              </w:rPr>
              <w:t>0分</w:t>
            </w:r>
            <w:r>
              <w:rPr>
                <w:rFonts w:hint="eastAsia" w:ascii="仿宋_GB2312" w:eastAsia="仿宋_GB2312"/>
                <w:color w:val="000000"/>
                <w:sz w:val="24"/>
                <w:szCs w:val="24"/>
              </w:rPr>
              <w:t>-</w:t>
            </w:r>
            <w:r>
              <w:rPr>
                <w:rFonts w:hint="eastAsia" w:ascii="仿宋_GB2312" w:hAnsi="仿宋" w:eastAsia="仿宋_GB2312"/>
                <w:color w:val="000000"/>
                <w:sz w:val="24"/>
                <w:szCs w:val="24"/>
              </w:rPr>
              <w:t>未建设化工园区安全监管和应急救援信息平台；</w:t>
            </w:r>
          </w:p>
          <w:p>
            <w:pPr>
              <w:snapToGrid w:val="0"/>
              <w:spacing w:line="360" w:lineRule="exact"/>
              <w:rPr>
                <w:rFonts w:hint="eastAsia" w:ascii="仿宋_GB2312" w:eastAsia="仿宋_GB2312"/>
                <w:color w:val="000000"/>
                <w:sz w:val="24"/>
                <w:szCs w:val="24"/>
              </w:rPr>
            </w:pPr>
            <w:r>
              <w:rPr>
                <w:rFonts w:hint="eastAsia" w:ascii="仿宋_GB2312" w:hAnsi="Times New Roman" w:eastAsia="仿宋_GB2312"/>
                <w:color w:val="000000"/>
                <w:sz w:val="24"/>
                <w:szCs w:val="24"/>
              </w:rPr>
              <w:t>1分-</w:t>
            </w:r>
            <w:r>
              <w:rPr>
                <w:rFonts w:hint="eastAsia" w:ascii="仿宋_GB2312" w:hAnsi="仿宋" w:eastAsia="仿宋_GB2312"/>
                <w:color w:val="000000"/>
                <w:sz w:val="24"/>
                <w:szCs w:val="24"/>
              </w:rPr>
              <w:t>建设了化工园区安全监管和应急救援信息平台，但未实现重大危险源在线监测监控，企业安全生产风危险化学品险动态预警和分级推送，对化工园区内重点企业、重点场所、基础设施进行在线实时管控；</w:t>
            </w:r>
          </w:p>
          <w:p>
            <w:pPr>
              <w:spacing w:line="360" w:lineRule="exact"/>
              <w:outlineLvl w:val="2"/>
              <w:rPr>
                <w:rFonts w:hint="eastAsia" w:ascii="仿宋_GB2312" w:eastAsia="仿宋_GB2312"/>
                <w:color w:val="000000"/>
                <w:sz w:val="24"/>
                <w:szCs w:val="24"/>
              </w:rPr>
            </w:pPr>
            <w:r>
              <w:rPr>
                <w:rFonts w:hint="eastAsia" w:ascii="仿宋_GB2312" w:hAnsi="Times New Roman" w:eastAsia="仿宋_GB2312"/>
                <w:color w:val="000000"/>
                <w:sz w:val="24"/>
                <w:szCs w:val="24"/>
              </w:rPr>
              <w:t>5分-符合条件。</w:t>
            </w:r>
          </w:p>
        </w:tc>
        <w:tc>
          <w:tcPr>
            <w:tcW w:w="1148" w:type="dxa"/>
            <w:noWrap w:val="0"/>
            <w:vAlign w:val="top"/>
          </w:tcPr>
          <w:p>
            <w:pPr>
              <w:spacing w:line="360" w:lineRule="exact"/>
              <w:outlineLvl w:val="2"/>
              <w:rPr>
                <w:rFonts w:hint="eastAsia" w:ascii="仿宋_GB2312"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vMerge w:val="continue"/>
            <w:noWrap w:val="0"/>
            <w:vAlign w:val="center"/>
          </w:tcPr>
          <w:p>
            <w:pPr>
              <w:snapToGrid w:val="0"/>
              <w:spacing w:line="360" w:lineRule="exact"/>
              <w:jc w:val="center"/>
              <w:rPr>
                <w:rFonts w:ascii="仿宋_GB2312" w:eastAsia="仿宋_GB2312"/>
                <w:b/>
                <w:color w:val="000000"/>
                <w:sz w:val="24"/>
                <w:szCs w:val="24"/>
              </w:rPr>
            </w:pPr>
          </w:p>
        </w:tc>
        <w:tc>
          <w:tcPr>
            <w:tcW w:w="1559" w:type="dxa"/>
            <w:vMerge w:val="continue"/>
            <w:noWrap w:val="0"/>
            <w:vAlign w:val="center"/>
          </w:tcPr>
          <w:p>
            <w:pPr>
              <w:snapToGrid w:val="0"/>
              <w:spacing w:line="360" w:lineRule="exact"/>
              <w:jc w:val="center"/>
              <w:rPr>
                <w:rFonts w:ascii="仿宋_GB2312" w:eastAsia="仿宋_GB2312"/>
                <w:color w:val="000000"/>
                <w:sz w:val="24"/>
                <w:szCs w:val="24"/>
              </w:rPr>
            </w:pPr>
          </w:p>
        </w:tc>
        <w:tc>
          <w:tcPr>
            <w:tcW w:w="3828" w:type="dxa"/>
            <w:noWrap w:val="0"/>
            <w:vAlign w:val="center"/>
          </w:tcPr>
          <w:p>
            <w:pPr>
              <w:spacing w:line="360" w:lineRule="exact"/>
              <w:outlineLvl w:val="2"/>
              <w:rPr>
                <w:rFonts w:hint="eastAsia" w:ascii="仿宋_GB2312" w:hAnsi="仿宋" w:eastAsia="仿宋_GB2312"/>
                <w:color w:val="000000"/>
                <w:sz w:val="24"/>
                <w:szCs w:val="24"/>
              </w:rPr>
            </w:pPr>
            <w:r>
              <w:rPr>
                <w:rFonts w:hint="eastAsia" w:ascii="仿宋_GB2312" w:hAnsi="仿宋" w:eastAsia="仿宋_GB2312"/>
                <w:color w:val="000000"/>
                <w:sz w:val="24"/>
                <w:szCs w:val="24"/>
              </w:rPr>
              <w:t>（30）化工园区应急管理机构应制定总体应急救援预案及专项预案，并至少每年组织1次安全事故应急救援预案演练。</w:t>
            </w:r>
          </w:p>
        </w:tc>
        <w:tc>
          <w:tcPr>
            <w:tcW w:w="4520" w:type="dxa"/>
            <w:noWrap w:val="0"/>
            <w:vAlign w:val="top"/>
          </w:tcPr>
          <w:p>
            <w:pPr>
              <w:snapToGrid w:val="0"/>
              <w:spacing w:line="360" w:lineRule="exact"/>
              <w:rPr>
                <w:rFonts w:hint="eastAsia" w:ascii="仿宋_GB2312" w:hAnsi="仿宋" w:eastAsia="仿宋_GB2312"/>
                <w:color w:val="000000"/>
                <w:sz w:val="24"/>
                <w:szCs w:val="24"/>
              </w:rPr>
            </w:pPr>
            <w:r>
              <w:rPr>
                <w:rFonts w:hint="eastAsia" w:ascii="仿宋_GB2312" w:hAnsi="Times New Roman" w:eastAsia="仿宋_GB2312"/>
                <w:color w:val="000000"/>
                <w:sz w:val="24"/>
                <w:szCs w:val="24"/>
              </w:rPr>
              <w:t>0分</w:t>
            </w:r>
            <w:r>
              <w:rPr>
                <w:rFonts w:hint="eastAsia" w:ascii="仿宋_GB2312" w:eastAsia="仿宋_GB2312"/>
                <w:color w:val="000000"/>
                <w:sz w:val="24"/>
                <w:szCs w:val="24"/>
              </w:rPr>
              <w:t>-</w:t>
            </w:r>
            <w:r>
              <w:rPr>
                <w:rFonts w:hint="eastAsia" w:ascii="仿宋_GB2312" w:hAnsi="仿宋" w:eastAsia="仿宋_GB2312"/>
                <w:color w:val="000000"/>
                <w:sz w:val="24"/>
                <w:szCs w:val="24"/>
              </w:rPr>
              <w:t>未制定总体应急救援预案及专项预案或未按要求组织安全事故应急救援预案演练；</w:t>
            </w:r>
          </w:p>
          <w:p>
            <w:pPr>
              <w:spacing w:line="360" w:lineRule="exact"/>
              <w:outlineLvl w:val="2"/>
              <w:rPr>
                <w:rFonts w:hint="eastAsia" w:ascii="仿宋_GB2312" w:eastAsia="仿宋_GB2312"/>
                <w:color w:val="000000"/>
                <w:sz w:val="24"/>
                <w:szCs w:val="24"/>
              </w:rPr>
            </w:pPr>
            <w:r>
              <w:rPr>
                <w:rFonts w:hint="eastAsia" w:ascii="仿宋_GB2312" w:hAnsi="Times New Roman" w:eastAsia="仿宋_GB2312"/>
                <w:color w:val="000000"/>
                <w:sz w:val="24"/>
                <w:szCs w:val="24"/>
              </w:rPr>
              <w:t>5分-符合条件。</w:t>
            </w:r>
          </w:p>
        </w:tc>
        <w:tc>
          <w:tcPr>
            <w:tcW w:w="1148" w:type="dxa"/>
            <w:noWrap w:val="0"/>
            <w:vAlign w:val="top"/>
          </w:tcPr>
          <w:p>
            <w:pPr>
              <w:spacing w:line="360" w:lineRule="exact"/>
              <w:outlineLvl w:val="2"/>
              <w:rPr>
                <w:rFonts w:hint="eastAsia" w:ascii="仿宋_GB2312"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vMerge w:val="continue"/>
            <w:noWrap w:val="0"/>
            <w:vAlign w:val="center"/>
          </w:tcPr>
          <w:p>
            <w:pPr>
              <w:snapToGrid w:val="0"/>
              <w:spacing w:line="360" w:lineRule="exact"/>
              <w:jc w:val="center"/>
              <w:rPr>
                <w:rFonts w:ascii="仿宋_GB2312" w:eastAsia="仿宋_GB2312"/>
                <w:b/>
                <w:color w:val="000000"/>
                <w:sz w:val="24"/>
                <w:szCs w:val="24"/>
              </w:rPr>
            </w:pPr>
          </w:p>
        </w:tc>
        <w:tc>
          <w:tcPr>
            <w:tcW w:w="1559" w:type="dxa"/>
            <w:vMerge w:val="continue"/>
            <w:noWrap w:val="0"/>
            <w:vAlign w:val="center"/>
          </w:tcPr>
          <w:p>
            <w:pPr>
              <w:snapToGrid w:val="0"/>
              <w:spacing w:line="360" w:lineRule="exact"/>
              <w:jc w:val="center"/>
              <w:rPr>
                <w:rFonts w:ascii="仿宋_GB2312" w:eastAsia="仿宋_GB2312"/>
                <w:color w:val="000000"/>
                <w:sz w:val="24"/>
                <w:szCs w:val="24"/>
              </w:rPr>
            </w:pPr>
          </w:p>
        </w:tc>
        <w:tc>
          <w:tcPr>
            <w:tcW w:w="3828" w:type="dxa"/>
            <w:noWrap w:val="0"/>
            <w:vAlign w:val="center"/>
          </w:tcPr>
          <w:p>
            <w:pPr>
              <w:spacing w:line="360" w:lineRule="exact"/>
              <w:outlineLvl w:val="2"/>
              <w:rPr>
                <w:rFonts w:hint="eastAsia" w:ascii="仿宋_GB2312" w:hAnsi="仿宋" w:eastAsia="仿宋_GB2312"/>
                <w:color w:val="000000"/>
                <w:sz w:val="24"/>
                <w:szCs w:val="24"/>
              </w:rPr>
            </w:pPr>
            <w:r>
              <w:rPr>
                <w:rFonts w:hint="eastAsia" w:ascii="仿宋_GB2312" w:hAnsi="仿宋" w:eastAsia="仿宋_GB2312"/>
                <w:color w:val="000000"/>
                <w:sz w:val="24"/>
                <w:szCs w:val="24"/>
              </w:rPr>
              <w:t>（31）化工园区消防站应按照不低于《城市消防站建设标准》中特勤消防站的标准进行设置。化工园区应建设有危险化学品专业应急救援队伍；根据自身安全风险类型和实际需求，配套建设医疗急救场所和气防站。</w:t>
            </w:r>
          </w:p>
        </w:tc>
        <w:tc>
          <w:tcPr>
            <w:tcW w:w="4520" w:type="dxa"/>
            <w:noWrap w:val="0"/>
            <w:vAlign w:val="top"/>
          </w:tcPr>
          <w:p>
            <w:pPr>
              <w:snapToGrid w:val="0"/>
              <w:spacing w:line="360" w:lineRule="exact"/>
              <w:rPr>
                <w:rFonts w:hint="eastAsia" w:ascii="仿宋_GB2312" w:hAnsi="仿宋" w:eastAsia="仿宋_GB2312"/>
                <w:color w:val="000000"/>
                <w:sz w:val="24"/>
                <w:szCs w:val="24"/>
              </w:rPr>
            </w:pPr>
            <w:r>
              <w:rPr>
                <w:rFonts w:hint="eastAsia" w:ascii="仿宋_GB2312" w:hAnsi="Times New Roman" w:eastAsia="仿宋_GB2312"/>
                <w:color w:val="000000"/>
                <w:sz w:val="24"/>
                <w:szCs w:val="24"/>
              </w:rPr>
              <w:t>0分</w:t>
            </w:r>
            <w:r>
              <w:rPr>
                <w:rFonts w:hint="eastAsia" w:ascii="仿宋_GB2312" w:eastAsia="仿宋_GB2312"/>
                <w:color w:val="000000"/>
                <w:sz w:val="24"/>
                <w:szCs w:val="24"/>
              </w:rPr>
              <w:t>-</w:t>
            </w:r>
            <w:r>
              <w:rPr>
                <w:rFonts w:hint="eastAsia" w:ascii="仿宋_GB2312" w:hAnsi="仿宋" w:eastAsia="仿宋_GB2312"/>
                <w:color w:val="000000"/>
                <w:sz w:val="24"/>
                <w:szCs w:val="24"/>
              </w:rPr>
              <w:t>未建设化工园区消防站；</w:t>
            </w:r>
          </w:p>
          <w:p>
            <w:pPr>
              <w:snapToGrid w:val="0"/>
              <w:spacing w:line="360" w:lineRule="exact"/>
              <w:rPr>
                <w:rFonts w:hint="eastAsia" w:ascii="仿宋_GB2312" w:hAnsi="仿宋" w:eastAsia="仿宋_GB2312"/>
                <w:color w:val="000000"/>
                <w:sz w:val="24"/>
                <w:szCs w:val="24"/>
              </w:rPr>
            </w:pPr>
            <w:r>
              <w:rPr>
                <w:rFonts w:hint="eastAsia" w:ascii="仿宋_GB2312" w:hAnsi="Times New Roman" w:eastAsia="仿宋_GB2312"/>
                <w:color w:val="000000"/>
                <w:sz w:val="24"/>
                <w:szCs w:val="24"/>
              </w:rPr>
              <w:t>1分-</w:t>
            </w:r>
            <w:r>
              <w:rPr>
                <w:rFonts w:hint="eastAsia" w:ascii="仿宋_GB2312" w:hAnsi="仿宋" w:eastAsia="仿宋_GB2312"/>
                <w:color w:val="000000"/>
                <w:sz w:val="24"/>
                <w:szCs w:val="24"/>
              </w:rPr>
              <w:t>建设了化工园区消防站，但未建有危险化学品专业应急救援队伍；</w:t>
            </w:r>
          </w:p>
          <w:p>
            <w:pPr>
              <w:snapToGrid w:val="0"/>
              <w:spacing w:line="360" w:lineRule="exact"/>
              <w:rPr>
                <w:rFonts w:hint="eastAsia" w:ascii="仿宋_GB2312" w:eastAsia="仿宋_GB2312"/>
                <w:color w:val="000000"/>
                <w:sz w:val="24"/>
                <w:szCs w:val="24"/>
              </w:rPr>
            </w:pPr>
            <w:r>
              <w:rPr>
                <w:rFonts w:hint="eastAsia" w:ascii="仿宋_GB2312" w:hAnsi="Times New Roman" w:eastAsia="仿宋_GB2312"/>
                <w:color w:val="000000"/>
                <w:sz w:val="24"/>
                <w:szCs w:val="24"/>
              </w:rPr>
              <w:t>3分-</w:t>
            </w:r>
            <w:r>
              <w:rPr>
                <w:rFonts w:hint="eastAsia" w:ascii="仿宋_GB2312" w:hAnsi="仿宋" w:eastAsia="仿宋_GB2312"/>
                <w:color w:val="000000"/>
                <w:sz w:val="24"/>
                <w:szCs w:val="24"/>
              </w:rPr>
              <w:t>建设了化工园区特勤消防站，但未建有危险化学品专业应急救援队伍；</w:t>
            </w:r>
          </w:p>
          <w:p>
            <w:pPr>
              <w:spacing w:line="360" w:lineRule="exact"/>
              <w:outlineLvl w:val="2"/>
              <w:rPr>
                <w:rFonts w:hint="eastAsia" w:ascii="仿宋_GB2312" w:eastAsia="仿宋_GB2312"/>
                <w:color w:val="000000"/>
                <w:sz w:val="24"/>
                <w:szCs w:val="24"/>
              </w:rPr>
            </w:pPr>
            <w:r>
              <w:rPr>
                <w:rFonts w:hint="eastAsia" w:ascii="仿宋_GB2312" w:hAnsi="Times New Roman" w:eastAsia="仿宋_GB2312"/>
                <w:color w:val="000000"/>
                <w:sz w:val="24"/>
                <w:szCs w:val="24"/>
              </w:rPr>
              <w:t>5分-符合条件。</w:t>
            </w:r>
          </w:p>
        </w:tc>
        <w:tc>
          <w:tcPr>
            <w:tcW w:w="1148" w:type="dxa"/>
            <w:noWrap w:val="0"/>
            <w:vAlign w:val="top"/>
          </w:tcPr>
          <w:p>
            <w:pPr>
              <w:spacing w:line="360" w:lineRule="exact"/>
              <w:outlineLvl w:val="2"/>
              <w:rPr>
                <w:rFonts w:hint="eastAsia" w:ascii="仿宋_GB2312"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vMerge w:val="continue"/>
            <w:noWrap w:val="0"/>
            <w:vAlign w:val="center"/>
          </w:tcPr>
          <w:p>
            <w:pPr>
              <w:snapToGrid w:val="0"/>
              <w:spacing w:line="360" w:lineRule="exact"/>
              <w:jc w:val="center"/>
              <w:rPr>
                <w:rFonts w:ascii="仿宋_GB2312" w:eastAsia="仿宋_GB2312"/>
                <w:b/>
                <w:color w:val="000000"/>
                <w:sz w:val="24"/>
                <w:szCs w:val="24"/>
              </w:rPr>
            </w:pPr>
          </w:p>
        </w:tc>
        <w:tc>
          <w:tcPr>
            <w:tcW w:w="1559" w:type="dxa"/>
            <w:vMerge w:val="continue"/>
            <w:noWrap w:val="0"/>
            <w:vAlign w:val="center"/>
          </w:tcPr>
          <w:p>
            <w:pPr>
              <w:snapToGrid w:val="0"/>
              <w:spacing w:line="360" w:lineRule="exact"/>
              <w:jc w:val="center"/>
              <w:rPr>
                <w:rFonts w:ascii="仿宋_GB2312" w:eastAsia="仿宋_GB2312"/>
                <w:color w:val="000000"/>
                <w:sz w:val="24"/>
                <w:szCs w:val="24"/>
              </w:rPr>
            </w:pPr>
          </w:p>
        </w:tc>
        <w:tc>
          <w:tcPr>
            <w:tcW w:w="3828" w:type="dxa"/>
            <w:noWrap w:val="0"/>
            <w:vAlign w:val="center"/>
          </w:tcPr>
          <w:p>
            <w:pPr>
              <w:spacing w:line="360" w:lineRule="exact"/>
              <w:outlineLvl w:val="2"/>
              <w:rPr>
                <w:rFonts w:hint="eastAsia" w:ascii="仿宋_GB2312" w:hAnsi="仿宋" w:eastAsia="仿宋_GB2312"/>
                <w:color w:val="000000"/>
                <w:sz w:val="24"/>
                <w:szCs w:val="24"/>
              </w:rPr>
            </w:pPr>
            <w:r>
              <w:rPr>
                <w:rFonts w:hint="eastAsia" w:ascii="仿宋_GB2312" w:hAnsi="仿宋" w:eastAsia="仿宋_GB2312"/>
                <w:color w:val="000000"/>
                <w:sz w:val="24"/>
                <w:szCs w:val="24"/>
              </w:rPr>
              <w:t>（32）化工园区应建立健全化工园区内企业及公共应急物资储备保障制度，统筹规划配备充足的应急物资装备。</w:t>
            </w:r>
          </w:p>
        </w:tc>
        <w:tc>
          <w:tcPr>
            <w:tcW w:w="4520" w:type="dxa"/>
            <w:noWrap w:val="0"/>
            <w:vAlign w:val="top"/>
          </w:tcPr>
          <w:p>
            <w:pPr>
              <w:snapToGrid w:val="0"/>
              <w:spacing w:line="360" w:lineRule="exact"/>
              <w:rPr>
                <w:rFonts w:hint="eastAsia" w:ascii="仿宋_GB2312" w:hAnsi="仿宋" w:eastAsia="仿宋_GB2312"/>
                <w:color w:val="000000"/>
                <w:sz w:val="24"/>
                <w:szCs w:val="24"/>
              </w:rPr>
            </w:pPr>
            <w:r>
              <w:rPr>
                <w:rFonts w:hint="eastAsia" w:ascii="仿宋_GB2312" w:hAnsi="Times New Roman" w:eastAsia="仿宋_GB2312"/>
                <w:color w:val="000000"/>
                <w:sz w:val="24"/>
                <w:szCs w:val="24"/>
              </w:rPr>
              <w:t>0分</w:t>
            </w:r>
            <w:r>
              <w:rPr>
                <w:rFonts w:hint="eastAsia" w:ascii="仿宋_GB2312" w:eastAsia="仿宋_GB2312"/>
                <w:color w:val="000000"/>
                <w:sz w:val="24"/>
                <w:szCs w:val="24"/>
              </w:rPr>
              <w:t>-</w:t>
            </w:r>
            <w:r>
              <w:rPr>
                <w:rFonts w:hint="eastAsia" w:ascii="仿宋_GB2312" w:hAnsi="仿宋" w:eastAsia="仿宋_GB2312"/>
                <w:color w:val="000000"/>
                <w:sz w:val="24"/>
                <w:szCs w:val="24"/>
              </w:rPr>
              <w:t>未建立企业及公共应急物资储备保障制度，统筹规划配备充足的应急物资装备；</w:t>
            </w:r>
          </w:p>
          <w:p>
            <w:pPr>
              <w:spacing w:line="360" w:lineRule="exact"/>
              <w:outlineLvl w:val="2"/>
              <w:rPr>
                <w:rFonts w:hint="eastAsia" w:ascii="仿宋_GB2312" w:eastAsia="仿宋_GB2312"/>
                <w:color w:val="000000"/>
                <w:sz w:val="24"/>
                <w:szCs w:val="24"/>
              </w:rPr>
            </w:pPr>
            <w:r>
              <w:rPr>
                <w:rFonts w:hint="eastAsia" w:ascii="仿宋_GB2312" w:hAnsi="Times New Roman" w:eastAsia="仿宋_GB2312"/>
                <w:color w:val="000000"/>
                <w:sz w:val="24"/>
                <w:szCs w:val="24"/>
              </w:rPr>
              <w:t>5分-符合条件。</w:t>
            </w:r>
          </w:p>
        </w:tc>
        <w:tc>
          <w:tcPr>
            <w:tcW w:w="1148" w:type="dxa"/>
            <w:noWrap w:val="0"/>
            <w:vAlign w:val="top"/>
          </w:tcPr>
          <w:p>
            <w:pPr>
              <w:spacing w:line="360" w:lineRule="exact"/>
              <w:outlineLvl w:val="2"/>
              <w:rPr>
                <w:rFonts w:hint="eastAsia" w:ascii="仿宋_GB2312"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noWrap w:val="0"/>
            <w:vAlign w:val="center"/>
          </w:tcPr>
          <w:p>
            <w:pPr>
              <w:snapToGrid w:val="0"/>
              <w:spacing w:line="360" w:lineRule="exact"/>
              <w:jc w:val="center"/>
              <w:rPr>
                <w:rFonts w:ascii="仿宋_GB2312" w:eastAsia="仿宋_GB2312"/>
                <w:b/>
                <w:color w:val="000000"/>
                <w:sz w:val="24"/>
                <w:szCs w:val="24"/>
              </w:rPr>
            </w:pPr>
            <w:r>
              <w:rPr>
                <w:rFonts w:hint="eastAsia" w:ascii="仿宋_GB2312" w:eastAsia="仿宋_GB2312"/>
                <w:b/>
                <w:color w:val="000000"/>
                <w:sz w:val="24"/>
                <w:szCs w:val="24"/>
              </w:rPr>
              <w:t>7</w:t>
            </w:r>
          </w:p>
        </w:tc>
        <w:tc>
          <w:tcPr>
            <w:tcW w:w="1559" w:type="dxa"/>
            <w:noWrap w:val="0"/>
            <w:vAlign w:val="center"/>
          </w:tcPr>
          <w:p>
            <w:pPr>
              <w:snapToGrid w:val="0"/>
              <w:spacing w:line="360" w:lineRule="exact"/>
              <w:jc w:val="center"/>
              <w:rPr>
                <w:rFonts w:ascii="仿宋_GB2312" w:eastAsia="仿宋_GB2312"/>
                <w:color w:val="000000"/>
                <w:sz w:val="24"/>
                <w:szCs w:val="24"/>
              </w:rPr>
            </w:pPr>
            <w:r>
              <w:rPr>
                <w:rFonts w:hint="eastAsia" w:ascii="仿宋_GB2312" w:eastAsia="仿宋_GB2312"/>
                <w:b/>
                <w:color w:val="000000"/>
                <w:sz w:val="24"/>
                <w:szCs w:val="24"/>
              </w:rPr>
              <w:t>化工园区总分值Z</w:t>
            </w:r>
          </w:p>
        </w:tc>
        <w:tc>
          <w:tcPr>
            <w:tcW w:w="3828" w:type="dxa"/>
            <w:noWrap w:val="0"/>
            <w:vAlign w:val="center"/>
          </w:tcPr>
          <w:p>
            <w:pPr>
              <w:spacing w:line="360" w:lineRule="exact"/>
              <w:outlineLvl w:val="2"/>
              <w:rPr>
                <w:rFonts w:ascii="仿宋" w:hAnsi="仿宋" w:eastAsia="仿宋"/>
                <w:color w:val="000000"/>
                <w:sz w:val="24"/>
                <w:szCs w:val="24"/>
              </w:rPr>
            </w:pPr>
            <w:r>
              <w:rPr>
                <w:rFonts w:hint="eastAsia" w:ascii="仿宋" w:hAnsi="仿宋" w:eastAsia="仿宋"/>
                <w:color w:val="000000"/>
                <w:sz w:val="24"/>
                <w:szCs w:val="24"/>
              </w:rPr>
              <w:t>/</w:t>
            </w:r>
          </w:p>
        </w:tc>
        <w:tc>
          <w:tcPr>
            <w:tcW w:w="4520" w:type="dxa"/>
            <w:noWrap w:val="0"/>
            <w:vAlign w:val="top"/>
          </w:tcPr>
          <w:p>
            <w:pPr>
              <w:snapToGrid w:val="0"/>
              <w:spacing w:line="360" w:lineRule="exact"/>
              <w:rPr>
                <w:rFonts w:ascii="仿宋_GB2312" w:hAnsi="Times New Roman" w:eastAsia="仿宋_GB2312"/>
                <w:color w:val="000000"/>
                <w:sz w:val="24"/>
                <w:szCs w:val="24"/>
              </w:rPr>
            </w:pPr>
            <w:r>
              <w:rPr>
                <w:rFonts w:hint="eastAsia" w:ascii="仿宋_GB2312" w:hAnsi="Times New Roman" w:eastAsia="仿宋_GB2312"/>
                <w:color w:val="000000"/>
                <w:sz w:val="24"/>
                <w:szCs w:val="24"/>
              </w:rPr>
              <w:t>/</w:t>
            </w:r>
          </w:p>
        </w:tc>
        <w:tc>
          <w:tcPr>
            <w:tcW w:w="1148" w:type="dxa"/>
            <w:noWrap w:val="0"/>
            <w:vAlign w:val="top"/>
          </w:tcPr>
          <w:p>
            <w:pPr>
              <w:spacing w:line="360" w:lineRule="exact"/>
              <w:outlineLvl w:val="2"/>
              <w:rPr>
                <w:rFonts w:ascii="仿宋_GB2312"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872" w:type="dxa"/>
            <w:gridSpan w:val="5"/>
            <w:noWrap w:val="0"/>
            <w:vAlign w:val="center"/>
          </w:tcPr>
          <w:p>
            <w:pPr>
              <w:rPr>
                <w:color w:val="000000"/>
              </w:rPr>
            </w:pPr>
            <w:r>
              <w:rPr>
                <w:rFonts w:hint="eastAsia"/>
                <w:color w:val="000000"/>
              </w:rPr>
              <w:t>评分说明：</w:t>
            </w:r>
          </w:p>
          <w:p>
            <w:pPr>
              <w:rPr>
                <w:color w:val="000000"/>
              </w:rPr>
            </w:pPr>
            <w:r>
              <w:rPr>
                <w:rFonts w:hint="eastAsia"/>
                <w:color w:val="000000"/>
              </w:rPr>
              <w:t>1.评分时，对32项排查内容按照各自对应的评分标准逐一进行评分。</w:t>
            </w:r>
          </w:p>
          <w:p>
            <w:pPr>
              <w:rPr>
                <w:color w:val="000000"/>
              </w:rPr>
            </w:pPr>
            <w:r>
              <w:rPr>
                <w:rFonts w:hint="eastAsia"/>
                <w:color w:val="000000"/>
              </w:rPr>
              <w:t>2.评分按照0-1-3-5评分制，其中：0分表示不符合标准要求，1分表示与标准要求偏差较大，3分表示与标准要求存在部分偏差，5分表示符合标准要求；对具有二元选择性的排查内容，只设5分或0分。</w:t>
            </w:r>
          </w:p>
          <w:p>
            <w:pPr>
              <w:rPr>
                <w:rFonts w:hint="eastAsia" w:ascii="宋体" w:hAnsi="宋体" w:cs="宋体"/>
                <w:color w:val="000000"/>
                <w:kern w:val="0"/>
                <w:sz w:val="20"/>
                <w:szCs w:val="20"/>
              </w:rPr>
            </w:pPr>
            <w:r>
              <w:rPr>
                <w:rFonts w:hint="eastAsia"/>
                <w:color w:val="000000"/>
              </w:rPr>
              <w:t>3.区总分采用百分制进行评分，</w:t>
            </w:r>
            <w:r>
              <w:rPr>
                <w:rFonts w:hint="eastAsia" w:ascii="宋体" w:hAnsi="宋体" w:cs="宋体"/>
                <w:color w:val="000000"/>
                <w:kern w:val="0"/>
                <w:sz w:val="20"/>
                <w:szCs w:val="20"/>
              </w:rPr>
              <w:t>总分值按如下公式计算</w:t>
            </w:r>
            <w:bookmarkStart w:id="2" w:name="_GoBack"/>
            <w:bookmarkEnd w:id="2"/>
            <w:r>
              <w:rPr>
                <w:rFonts w:hint="eastAsia" w:ascii="宋体" w:hAnsi="宋体" w:cs="宋体"/>
                <w:color w:val="000000"/>
                <w:kern w:val="0"/>
                <w:sz w:val="20"/>
                <w:szCs w:val="20"/>
              </w:rPr>
              <w:t>：</w:t>
            </w:r>
          </w:p>
          <w:p>
            <w:pPr>
              <w:autoSpaceDE w:val="0"/>
              <w:autoSpaceDN w:val="0"/>
              <w:adjustRightInd w:val="0"/>
              <w:jc w:val="center"/>
              <w:rPr>
                <w:rFonts w:ascii="宋体" w:hAnsi="宋体" w:cs="宋体"/>
                <w:color w:val="000000"/>
                <w:kern w:val="0"/>
                <w:sz w:val="20"/>
                <w:szCs w:val="20"/>
              </w:rPr>
            </w:pPr>
            <w:r>
              <w:rPr>
                <w:rFonts w:hint="eastAsia"/>
                <w:color w:val="000000"/>
              </w:rPr>
              <w:pict>
                <v:shape id="_x0000_i1025" o:spt="75" type="#_x0000_t75" style="height:29pt;width:98pt;" filled="f" stroked="f" coordsize="21600,21600" equationxml="&lt;?xml version=&quot;1.0&quot; encoding=&quot;UTF-8&quot; standalone=&quot;yes&quot;?&gt;&#13;&#10;&lt;?mso-application progid=&quot;Word.Document&quot;?&gt;&#13;&#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80&quot;/&gt;&lt;w:doNotEmbedSystemFonts/&gt;&lt;w:bordersDontSurroundHeader/&gt;&lt;w:bordersDontSurroundFooter/&gt;&lt;w:documentProtection w:edit=&quot;tracked-changes&quot; w:enforcement=&quot;off&quot;/&gt;&lt;w:defaultTabStop w:val=&quot;420&quot;/&gt;&lt;w:drawingGridHorizontalSpacing w:val=&quot;103&quot;/&gt;&lt;w:drawingGridVerticalSpacing w:val=&quot;579&quot;/&gt;&lt;w:displayHorizontalDrawingGridEvery w:val=&quot;0&quot;/&gt;&lt;w:punctuationKerning/&gt;&lt;w:characterSpacingControl w:val=&quot;CompressPunctuation&quot;/&gt;&lt;w:optimizeForBrowser/&gt;&lt;w:allowPNG/&gt;&lt;w:targetScreenSz w:val=&quot;800x600&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516056&quot;/&gt;&lt;wsp:rsid wsp:val=&quot;00005314&quot;/&gt;&lt;wsp:rsid wsp:val=&quot;00006107&quot;/&gt;&lt;wsp:rsid wsp:val=&quot;00013844&quot;/&gt;&lt;wsp:rsid wsp:val=&quot;00020955&quot;/&gt;&lt;wsp:rsid wsp:val=&quot;0003115E&quot;/&gt;&lt;wsp:rsid wsp:val=&quot;0003527A&quot;/&gt;&lt;wsp:rsid wsp:val=&quot;000476EE&quot;/&gt;&lt;wsp:rsid wsp:val=&quot;00051D41&quot;/&gt;&lt;wsp:rsid wsp:val=&quot;00054437&quot;/&gt;&lt;wsp:rsid wsp:val=&quot;0005609F&quot;/&gt;&lt;wsp:rsid wsp:val=&quot;00065C11&quot;/&gt;&lt;wsp:rsid wsp:val=&quot;000739E5&quot;/&gt;&lt;wsp:rsid wsp:val=&quot;00081F94&quot;/&gt;&lt;wsp:rsid wsp:val=&quot;00085F7B&quot;/&gt;&lt;wsp:rsid wsp:val=&quot;00090A82&quot;/&gt;&lt;wsp:rsid wsp:val=&quot;00094ADD&quot;/&gt;&lt;wsp:rsid wsp:val=&quot;000A2106&quot;/&gt;&lt;wsp:rsid wsp:val=&quot;000A2251&quot;/&gt;&lt;wsp:rsid wsp:val=&quot;000B37B3&quot;/&gt;&lt;wsp:rsid wsp:val=&quot;000B4390&quot;/&gt;&lt;wsp:rsid wsp:val=&quot;000B62E1&quot;/&gt;&lt;wsp:rsid wsp:val=&quot;000C40AF&quot;/&gt;&lt;wsp:rsid wsp:val=&quot;000C66E3&quot;/&gt;&lt;wsp:rsid wsp:val=&quot;000E4E78&quot;/&gt;&lt;wsp:rsid wsp:val=&quot;000F043C&quot;/&gt;&lt;wsp:rsid wsp:val=&quot;000F2CCD&quot;/&gt;&lt;wsp:rsid wsp:val=&quot;000F5904&quot;/&gt;&lt;wsp:rsid wsp:val=&quot;00101B46&quot;/&gt;&lt;wsp:rsid wsp:val=&quot;001023E6&quot;/&gt;&lt;wsp:rsid wsp:val=&quot;00114BAD&quot;/&gt;&lt;wsp:rsid wsp:val=&quot;00122120&quot;/&gt;&lt;wsp:rsid wsp:val=&quot;0012346D&quot;/&gt;&lt;wsp:rsid wsp:val=&quot;0013097A&quot;/&gt;&lt;wsp:rsid wsp:val=&quot;0013146A&quot;/&gt;&lt;wsp:rsid wsp:val=&quot;00131758&quot;/&gt;&lt;wsp:rsid wsp:val=&quot;00142B09&quot;/&gt;&lt;wsp:rsid wsp:val=&quot;00145E82&quot;/&gt;&lt;wsp:rsid wsp:val=&quot;00152E7A&quot;/&gt;&lt;wsp:rsid wsp:val=&quot;001532D0&quot;/&gt;&lt;wsp:rsid wsp:val=&quot;001668E0&quot;/&gt;&lt;wsp:rsid wsp:val=&quot;00175444&quot;/&gt;&lt;wsp:rsid wsp:val=&quot;0017586C&quot;/&gt;&lt;wsp:rsid wsp:val=&quot;0018224A&quot;/&gt;&lt;wsp:rsid wsp:val=&quot;001978BA&quot;/&gt;&lt;wsp:rsid wsp:val=&quot;001A06C4&quot;/&gt;&lt;wsp:rsid wsp:val=&quot;001B533F&quot;/&gt;&lt;wsp:rsid wsp:val=&quot;001C37D6&quot;/&gt;&lt;wsp:rsid wsp:val=&quot;001C4C3D&quot;/&gt;&lt;wsp:rsid wsp:val=&quot;001C6621&quot;/&gt;&lt;wsp:rsid wsp:val=&quot;001D317A&quot;/&gt;&lt;wsp:rsid wsp:val=&quot;001D5295&quot;/&gt;&lt;wsp:rsid wsp:val=&quot;001D5D7D&quot;/&gt;&lt;wsp:rsid wsp:val=&quot;001E6BB4&quot;/&gt;&lt;wsp:rsid wsp:val=&quot;001E758E&quot;/&gt;&lt;wsp:rsid wsp:val=&quot;001F3CDA&quot;/&gt;&lt;wsp:rsid wsp:val=&quot;00201B45&quot;/&gt;&lt;wsp:rsid wsp:val=&quot;0020404F&quot;/&gt;&lt;wsp:rsid wsp:val=&quot;0020653F&quot;/&gt;&lt;wsp:rsid wsp:val=&quot;0021131B&quot;/&gt;&lt;wsp:rsid wsp:val=&quot;00211F68&quot;/&gt;&lt;wsp:rsid wsp:val=&quot;00216873&quot;/&gt;&lt;wsp:rsid wsp:val=&quot;00222E82&quot;/&gt;&lt;wsp:rsid wsp:val=&quot;00223A8A&quot;/&gt;&lt;wsp:rsid wsp:val=&quot;002257C2&quot;/&gt;&lt;wsp:rsid wsp:val=&quot;00225E1C&quot;/&gt;&lt;wsp:rsid wsp:val=&quot;00230790&quot;/&gt;&lt;wsp:rsid wsp:val=&quot;00230FF4&quot;/&gt;&lt;wsp:rsid wsp:val=&quot;00243EB2&quot;/&gt;&lt;wsp:rsid wsp:val=&quot;002443D5&quot;/&gt;&lt;wsp:rsid wsp:val=&quot;00244464&quot;/&gt;&lt;wsp:rsid wsp:val=&quot;00252DBC&quot;/&gt;&lt;wsp:rsid wsp:val=&quot;00257920&quot;/&gt;&lt;wsp:rsid wsp:val=&quot;00260BB2&quot;/&gt;&lt;wsp:rsid wsp:val=&quot;0026188C&quot;/&gt;&lt;wsp:rsid wsp:val=&quot;002807EF&quot;/&gt;&lt;wsp:rsid wsp:val=&quot;00286AB2&quot;/&gt;&lt;wsp:rsid wsp:val=&quot;002930D7&quot;/&gt;&lt;wsp:rsid wsp:val=&quot;002934EC&quot;/&gt;&lt;wsp:rsid wsp:val=&quot;002A109A&quot;/&gt;&lt;wsp:rsid wsp:val=&quot;002A2454&quot;/&gt;&lt;wsp:rsid wsp:val=&quot;002A3707&quot;/&gt;&lt;wsp:rsid wsp:val=&quot;002A7922&quot;/&gt;&lt;wsp:rsid wsp:val=&quot;002C7C7A&quot;/&gt;&lt;wsp:rsid wsp:val=&quot;002D4176&quot;/&gt;&lt;wsp:rsid wsp:val=&quot;002F0AE3&quot;/&gt;&lt;wsp:rsid wsp:val=&quot;002F233B&quot;/&gt;&lt;wsp:rsid wsp:val=&quot;002F429D&quot;/&gt;&lt;wsp:rsid wsp:val=&quot;002F4CD4&quot;/&gt;&lt;wsp:rsid wsp:val=&quot;0030017D&quot;/&gt;&lt;wsp:rsid wsp:val=&quot;00301918&quot;/&gt;&lt;wsp:rsid wsp:val=&quot;00315480&quot;/&gt;&lt;wsp:rsid wsp:val=&quot;00317768&quot;/&gt;&lt;wsp:rsid wsp:val=&quot;003273E9&quot;/&gt;&lt;wsp:rsid wsp:val=&quot;00335E54&quot;/&gt;&lt;wsp:rsid wsp:val=&quot;0034557C&quot;/&gt;&lt;wsp:rsid wsp:val=&quot;003516B8&quot;/&gt;&lt;wsp:rsid wsp:val=&quot;00356602&quot;/&gt;&lt;wsp:rsid wsp:val=&quot;00357C66&quot;/&gt;&lt;wsp:rsid wsp:val=&quot;0036058C&quot;/&gt;&lt;wsp:rsid wsp:val=&quot;003656EE&quot;/&gt;&lt;wsp:rsid wsp:val=&quot;003735FD&quot;/&gt;&lt;wsp:rsid wsp:val=&quot;00373E19&quot;/&gt;&lt;wsp:rsid wsp:val=&quot;003743BE&quot;/&gt;&lt;wsp:rsid wsp:val=&quot;003861D7&quot;/&gt;&lt;wsp:rsid wsp:val=&quot;003903E3&quot;/&gt;&lt;wsp:rsid wsp:val=&quot;00394D87&quot;/&gt;&lt;wsp:rsid wsp:val=&quot;003969B7&quot;/&gt;&lt;wsp:rsid wsp:val=&quot;003A03B3&quot;/&gt;&lt;wsp:rsid wsp:val=&quot;003B4CC9&quot;/&gt;&lt;wsp:rsid wsp:val=&quot;003C0078&quot;/&gt;&lt;wsp:rsid wsp:val=&quot;003C0409&quot;/&gt;&lt;wsp:rsid wsp:val=&quot;003C1CDE&quot;/&gt;&lt;wsp:rsid wsp:val=&quot;003C4EA1&quot;/&gt;&lt;wsp:rsid wsp:val=&quot;003C71B1&quot;/&gt;&lt;wsp:rsid wsp:val=&quot;003D2E9B&quot;/&gt;&lt;wsp:rsid wsp:val=&quot;003D347F&quot;/&gt;&lt;wsp:rsid wsp:val=&quot;003D4C3D&quot;/&gt;&lt;wsp:rsid wsp:val=&quot;003D7DC1&quot;/&gt;&lt;wsp:rsid wsp:val=&quot;003E654C&quot;/&gt;&lt;wsp:rsid wsp:val=&quot;003F7F2E&quot;/&gt;&lt;wsp:rsid wsp:val=&quot;00407297&quot;/&gt;&lt;wsp:rsid wsp:val=&quot;004222A5&quot;/&gt;&lt;wsp:rsid wsp:val=&quot;004247A3&quot;/&gt;&lt;wsp:rsid wsp:val=&quot;004333A5&quot;/&gt;&lt;wsp:rsid wsp:val=&quot;004502BB&quot;/&gt;&lt;wsp:rsid wsp:val=&quot;00452A49&quot;/&gt;&lt;wsp:rsid wsp:val=&quot;004538A7&quot;/&gt;&lt;wsp:rsid wsp:val=&quot;00456AB7&quot;/&gt;&lt;wsp:rsid wsp:val=&quot;00471E12&quot;/&gt;&lt;wsp:rsid wsp:val=&quot;004806B4&quot;/&gt;&lt;wsp:rsid wsp:val=&quot;00484BF2&quot;/&gt;&lt;wsp:rsid wsp:val=&quot;004915A1&quot;/&gt;&lt;wsp:rsid wsp:val=&quot;00494B69&quot;/&gt;&lt;wsp:rsid wsp:val=&quot;004A2BEF&quot;/&gt;&lt;wsp:rsid wsp:val=&quot;004A3368&quot;/&gt;&lt;wsp:rsid wsp:val=&quot;004A5CB1&quot;/&gt;&lt;wsp:rsid wsp:val=&quot;004B1BB5&quot;/&gt;&lt;wsp:rsid wsp:val=&quot;004E5E25&quot;/&gt;&lt;wsp:rsid wsp:val=&quot;004F0288&quot;/&gt;&lt;wsp:rsid wsp:val=&quot;004F5798&quot;/&gt;&lt;wsp:rsid wsp:val=&quot;00500AC6&quot;/&gt;&lt;wsp:rsid wsp:val=&quot;00503DF0&quot;/&gt;&lt;wsp:rsid wsp:val=&quot;005110C1&quot;/&gt;&lt;wsp:rsid wsp:val=&quot;00513187&quot;/&gt;&lt;wsp:rsid wsp:val=&quot;005132DF&quot;/&gt;&lt;wsp:rsid wsp:val=&quot;00513B0A&quot;/&gt;&lt;wsp:rsid wsp:val=&quot;0051576F&quot;/&gt;&lt;wsp:rsid wsp:val=&quot;00516056&quot;/&gt;&lt;wsp:rsid wsp:val=&quot;00526A69&quot;/&gt;&lt;wsp:rsid wsp:val=&quot;005272BF&quot;/&gt;&lt;wsp:rsid wsp:val=&quot;00530A26&quot;/&gt;&lt;wsp:rsid wsp:val=&quot;005373F4&quot;/&gt;&lt;wsp:rsid wsp:val=&quot;00537C3A&quot;/&gt;&lt;wsp:rsid wsp:val=&quot;00542A5D&quot;/&gt;&lt;wsp:rsid wsp:val=&quot;005445F1&quot;/&gt;&lt;wsp:rsid wsp:val=&quot;0054685F&quot;/&gt;&lt;wsp:rsid wsp:val=&quot;00550705&quot;/&gt;&lt;wsp:rsid wsp:val=&quot;005555B9&quot;/&gt;&lt;wsp:rsid wsp:val=&quot;005568F8&quot;/&gt;&lt;wsp:rsid wsp:val=&quot;00560C53&quot;/&gt;&lt;wsp:rsid wsp:val=&quot;005710B6&quot;/&gt;&lt;wsp:rsid wsp:val=&quot;00591416&quot;/&gt;&lt;wsp:rsid wsp:val=&quot;00591CE9&quot;/&gt;&lt;wsp:rsid wsp:val=&quot;00597660&quot;/&gt;&lt;wsp:rsid wsp:val=&quot;005A0049&quot;/&gt;&lt;wsp:rsid wsp:val=&quot;005A2F1B&quot;/&gt;&lt;wsp:rsid wsp:val=&quot;005B43E5&quot;/&gt;&lt;wsp:rsid wsp:val=&quot;005B7B09&quot;/&gt;&lt;wsp:rsid wsp:val=&quot;005C30FB&quot;/&gt;&lt;wsp:rsid wsp:val=&quot;005C475A&quot;/&gt;&lt;wsp:rsid wsp:val=&quot;005E494E&quot;/&gt;&lt;wsp:rsid wsp:val=&quot;005E6D4C&quot;/&gt;&lt;wsp:rsid wsp:val=&quot;005F360F&quot;/&gt;&lt;wsp:rsid wsp:val=&quot;00604E88&quot;/&gt;&lt;wsp:rsid wsp:val=&quot;0060581A&quot;/&gt;&lt;wsp:rsid wsp:val=&quot;00611716&quot;/&gt;&lt;wsp:rsid wsp:val=&quot;00615C42&quot;/&gt;&lt;wsp:rsid wsp:val=&quot;00616584&quot;/&gt;&lt;wsp:rsid wsp:val=&quot;006220EC&quot;/&gt;&lt;wsp:rsid wsp:val=&quot;006226FE&quot;/&gt;&lt;wsp:rsid wsp:val=&quot;00623F86&quot;/&gt;&lt;wsp:rsid wsp:val=&quot;00631647&quot;/&gt;&lt;wsp:rsid wsp:val=&quot;00632136&quot;/&gt;&lt;wsp:rsid wsp:val=&quot;00640A89&quot;/&gt;&lt;wsp:rsid wsp:val=&quot;00645DD6&quot;/&gt;&lt;wsp:rsid wsp:val=&quot;006630FF&quot;/&gt;&lt;wsp:rsid wsp:val=&quot;006720B8&quot;/&gt;&lt;wsp:rsid wsp:val=&quot;0067602E&quot;/&gt;&lt;wsp:rsid wsp:val=&quot;00676841&quot;/&gt;&lt;wsp:rsid wsp:val=&quot;00676E65&quot;/&gt;&lt;wsp:rsid wsp:val=&quot;00683E44&quot;/&gt;&lt;wsp:rsid wsp:val=&quot;00684D4D&quot;/&gt;&lt;wsp:rsid wsp:val=&quot;00684FAA&quot;/&gt;&lt;wsp:rsid wsp:val=&quot;006863D0&quot;/&gt;&lt;wsp:rsid wsp:val=&quot;00692A63&quot;/&gt;&lt;wsp:rsid wsp:val=&quot;00695D92&quot;/&gt;&lt;wsp:rsid wsp:val=&quot;006A2EC2&quot;/&gt;&lt;wsp:rsid wsp:val=&quot;006A6391&quot;/&gt;&lt;wsp:rsid wsp:val=&quot;006B0ABF&quot;/&gt;&lt;wsp:rsid wsp:val=&quot;006B3F03&quot;/&gt;&lt;wsp:rsid wsp:val=&quot;006B602C&quot;/&gt;&lt;wsp:rsid wsp:val=&quot;006B6987&quot;/&gt;&lt;wsp:rsid wsp:val=&quot;006C259B&quot;/&gt;&lt;wsp:rsid wsp:val=&quot;006C3B6E&quot;/&gt;&lt;wsp:rsid wsp:val=&quot;006C6B06&quot;/&gt;&lt;wsp:rsid wsp:val=&quot;006C7646&quot;/&gt;&lt;wsp:rsid wsp:val=&quot;006E76CC&quot;/&gt;&lt;wsp:rsid wsp:val=&quot;006F2F6D&quot;/&gt;&lt;wsp:rsid wsp:val=&quot;006F756E&quot;/&gt;&lt;wsp:rsid wsp:val=&quot;0070062E&quot;/&gt;&lt;wsp:rsid wsp:val=&quot;00703B9B&quot;/&gt;&lt;wsp:rsid wsp:val=&quot;00715560&quot;/&gt;&lt;wsp:rsid wsp:val=&quot;007155D7&quot;/&gt;&lt;wsp:rsid wsp:val=&quot;00717950&quot;/&gt;&lt;wsp:rsid wsp:val=&quot;00724F32&quot;/&gt;&lt;wsp:rsid wsp:val=&quot;007268BF&quot;/&gt;&lt;wsp:rsid wsp:val=&quot;00730C20&quot;/&gt;&lt;wsp:rsid wsp:val=&quot;00737459&quot;/&gt;&lt;wsp:rsid wsp:val=&quot;0074011C&quot;/&gt;&lt;wsp:rsid wsp:val=&quot;007436E2&quot;/&gt;&lt;wsp:rsid wsp:val=&quot;007446F0&quot;/&gt;&lt;wsp:rsid wsp:val=&quot;00754821&quot;/&gt;&lt;wsp:rsid wsp:val=&quot;0075555E&quot;/&gt;&lt;wsp:rsid wsp:val=&quot;00763792&quot;/&gt;&lt;wsp:rsid wsp:val=&quot;00770E2F&quot;/&gt;&lt;wsp:rsid wsp:val=&quot;00773284&quot;/&gt;&lt;wsp:rsid wsp:val=&quot;00787952&quot;/&gt;&lt;wsp:rsid wsp:val=&quot;007929B4&quot;/&gt;&lt;wsp:rsid wsp:val=&quot;007A05CC&quot;/&gt;&lt;wsp:rsid wsp:val=&quot;007A39FC&quot;/&gt;&lt;wsp:rsid wsp:val=&quot;007B36E8&quot;/&gt;&lt;wsp:rsid wsp:val=&quot;007B39CB&quot;/&gt;&lt;wsp:rsid wsp:val=&quot;007B6A4C&quot;/&gt;&lt;wsp:rsid wsp:val=&quot;007C0D3E&quot;/&gt;&lt;wsp:rsid wsp:val=&quot;007C224E&quot;/&gt;&lt;wsp:rsid wsp:val=&quot;007C3CCB&quot;/&gt;&lt;wsp:rsid wsp:val=&quot;007C7EA9&quot;/&gt;&lt;wsp:rsid wsp:val=&quot;007D02DD&quot;/&gt;&lt;wsp:rsid wsp:val=&quot;007D2A7C&quot;/&gt;&lt;wsp:rsid wsp:val=&quot;007D2E65&quot;/&gt;&lt;wsp:rsid wsp:val=&quot;007F0D3F&quot;/&gt;&lt;wsp:rsid wsp:val=&quot;00811969&quot;/&gt;&lt;wsp:rsid wsp:val=&quot;00811C67&quot;/&gt;&lt;wsp:rsid wsp:val=&quot;00814F17&quot;/&gt;&lt;wsp:rsid wsp:val=&quot;008161E2&quot;/&gt;&lt;wsp:rsid wsp:val=&quot;00816336&quot;/&gt;&lt;wsp:rsid wsp:val=&quot;00817611&quot;/&gt;&lt;wsp:rsid wsp:val=&quot;00820BBE&quot;/&gt;&lt;wsp:rsid wsp:val=&quot;00832B94&quot;/&gt;&lt;wsp:rsid wsp:val=&quot;0083618B&quot;/&gt;&lt;wsp:rsid wsp:val=&quot;008430D5&quot;/&gt;&lt;wsp:rsid wsp:val=&quot;00850E0B&quot;/&gt;&lt;wsp:rsid wsp:val=&quot;00851BFC&quot;/&gt;&lt;wsp:rsid wsp:val=&quot;00856257&quot;/&gt;&lt;wsp:rsid wsp:val=&quot;00856626&quot;/&gt;&lt;wsp:rsid wsp:val=&quot;00857111&quot;/&gt;&lt;wsp:rsid wsp:val=&quot;0086620C&quot;/&gt;&lt;wsp:rsid wsp:val=&quot;00870E87&quot;/&gt;&lt;wsp:rsid wsp:val=&quot;00871256&quot;/&gt;&lt;wsp:rsid wsp:val=&quot;00872FBC&quot;/&gt;&lt;wsp:rsid wsp:val=&quot;008745C3&quot;/&gt;&lt;wsp:rsid wsp:val=&quot;008772C1&quot;/&gt;&lt;wsp:rsid wsp:val=&quot;008900EA&quot;/&gt;&lt;wsp:rsid wsp:val=&quot;008934F7&quot;/&gt;&lt;wsp:rsid wsp:val=&quot;00897630&quot;/&gt;&lt;wsp:rsid wsp:val=&quot;008A0194&quot;/&gt;&lt;wsp:rsid wsp:val=&quot;008A6676&quot;/&gt;&lt;wsp:rsid wsp:val=&quot;008A6684&quot;/&gt;&lt;wsp:rsid wsp:val=&quot;008B343C&quot;/&gt;&lt;wsp:rsid wsp:val=&quot;008B427A&quot;/&gt;&lt;wsp:rsid wsp:val=&quot;008C47DA&quot;/&gt;&lt;wsp:rsid wsp:val=&quot;008C5341&quot;/&gt;&lt;wsp:rsid wsp:val=&quot;008C57FA&quot;/&gt;&lt;wsp:rsid wsp:val=&quot;008C5A6D&quot;/&gt;&lt;wsp:rsid wsp:val=&quot;008C5D54&quot;/&gt;&lt;wsp:rsid wsp:val=&quot;008D4A8C&quot;/&gt;&lt;wsp:rsid wsp:val=&quot;008E3BF9&quot;/&gt;&lt;wsp:rsid wsp:val=&quot;008F3561&quot;/&gt;&lt;wsp:rsid wsp:val=&quot;008F5247&quot;/&gt;&lt;wsp:rsid wsp:val=&quot;00900BCD&quot;/&gt;&lt;wsp:rsid wsp:val=&quot;00904344&quot;/&gt;&lt;wsp:rsid wsp:val=&quot;0091128E&quot;/&gt;&lt;wsp:rsid wsp:val=&quot;00915A5C&quot;/&gt;&lt;wsp:rsid wsp:val=&quot;009235A0&quot;/&gt;&lt;wsp:rsid wsp:val=&quot;00933D8F&quot;/&gt;&lt;wsp:rsid wsp:val=&quot;00945DC7&quot;/&gt;&lt;wsp:rsid wsp:val=&quot;00951EA2&quot;/&gt;&lt;wsp:rsid wsp:val=&quot;00960C73&quot;/&gt;&lt;wsp:rsid wsp:val=&quot;0096151D&quot;/&gt;&lt;wsp:rsid wsp:val=&quot;0097175B&quot;/&gt;&lt;wsp:rsid wsp:val=&quot;00972E18&quot;/&gt;&lt;wsp:rsid wsp:val=&quot;0097356F&quot;/&gt;&lt;wsp:rsid wsp:val=&quot;00973DED&quot;/&gt;&lt;wsp:rsid wsp:val=&quot;0097404A&quot;/&gt;&lt;wsp:rsid wsp:val=&quot;009814C8&quot;/&gt;&lt;wsp:rsid wsp:val=&quot;00986AD5&quot;/&gt;&lt;wsp:rsid wsp:val=&quot;0099514A&quot;/&gt;&lt;wsp:rsid wsp:val=&quot;00996E4E&quot;/&gt;&lt;wsp:rsid wsp:val=&quot;009A6911&quot;/&gt;&lt;wsp:rsid wsp:val=&quot;009A6BA1&quot;/&gt;&lt;wsp:rsid wsp:val=&quot;009B22D2&quot;/&gt;&lt;wsp:rsid wsp:val=&quot;009B30CE&quot;/&gt;&lt;wsp:rsid wsp:val=&quot;009B353A&quot;/&gt;&lt;wsp:rsid wsp:val=&quot;009C1116&quot;/&gt;&lt;wsp:rsid wsp:val=&quot;009C1335&quot;/&gt;&lt;wsp:rsid wsp:val=&quot;009D061E&quot;/&gt;&lt;wsp:rsid wsp:val=&quot;009D4F12&quot;/&gt;&lt;wsp:rsid wsp:val=&quot;009D597A&quot;/&gt;&lt;wsp:rsid wsp:val=&quot;009D5D88&quot;/&gt;&lt;wsp:rsid wsp:val=&quot;009E51DE&quot;/&gt;&lt;wsp:rsid wsp:val=&quot;009E703D&quot;/&gt;&lt;wsp:rsid wsp:val=&quot;009F01E0&quot;/&gt;&lt;wsp:rsid wsp:val=&quot;009F08A6&quot;/&gt;&lt;wsp:rsid wsp:val=&quot;009F478D&quot;/&gt;&lt;wsp:rsid wsp:val=&quot;009F6D01&quot;/&gt;&lt;wsp:rsid wsp:val=&quot;00A048FA&quot;/&gt;&lt;wsp:rsid wsp:val=&quot;00A10893&quot;/&gt;&lt;wsp:rsid wsp:val=&quot;00A14D41&quot;/&gt;&lt;wsp:rsid wsp:val=&quot;00A314AA&quot;/&gt;&lt;wsp:rsid wsp:val=&quot;00A40428&quot;/&gt;&lt;wsp:rsid wsp:val=&quot;00A4229C&quot;/&gt;&lt;wsp:rsid wsp:val=&quot;00A423AD&quot;/&gt;&lt;wsp:rsid wsp:val=&quot;00A44433&quot;/&gt;&lt;wsp:rsid wsp:val=&quot;00A45B31&quot;/&gt;&lt;wsp:rsid wsp:val=&quot;00A53210&quot;/&gt;&lt;wsp:rsid wsp:val=&quot;00A62B13&quot;/&gt;&lt;wsp:rsid wsp:val=&quot;00A64C38&quot;/&gt;&lt;wsp:rsid wsp:val=&quot;00A671DF&quot;/&gt;&lt;wsp:rsid wsp:val=&quot;00A7675F&quot;/&gt;&lt;wsp:rsid wsp:val=&quot;00A77A03&quot;/&gt;&lt;wsp:rsid wsp:val=&quot;00A81C18&quot;/&gt;&lt;wsp:rsid wsp:val=&quot;00A83F4F&quot;/&gt;&lt;wsp:rsid wsp:val=&quot;00A85E90&quot;/&gt;&lt;wsp:rsid wsp:val=&quot;00A8615B&quot;/&gt;&lt;wsp:rsid wsp:val=&quot;00A94158&quot;/&gt;&lt;wsp:rsid wsp:val=&quot;00A95F14&quot;/&gt;&lt;wsp:rsid wsp:val=&quot;00AA084D&quot;/&gt;&lt;wsp:rsid wsp:val=&quot;00AA08D5&quot;/&gt;&lt;wsp:rsid wsp:val=&quot;00AA4C02&quot;/&gt;&lt;wsp:rsid wsp:val=&quot;00AA616E&quot;/&gt;&lt;wsp:rsid wsp:val=&quot;00AA7048&quot;/&gt;&lt;wsp:rsid wsp:val=&quot;00AA7232&quot;/&gt;&lt;wsp:rsid wsp:val=&quot;00AA7A7A&quot;/&gt;&lt;wsp:rsid wsp:val=&quot;00AB0C5F&quot;/&gt;&lt;wsp:rsid wsp:val=&quot;00AB528C&quot;/&gt;&lt;wsp:rsid wsp:val=&quot;00AC08A9&quot;/&gt;&lt;wsp:rsid wsp:val=&quot;00AC4EC6&quot;/&gt;&lt;wsp:rsid wsp:val=&quot;00AD06B6&quot;/&gt;&lt;wsp:rsid wsp:val=&quot;00AD36E5&quot;/&gt;&lt;wsp:rsid wsp:val=&quot;00AE1A51&quot;/&gt;&lt;wsp:rsid wsp:val=&quot;00AE661F&quot;/&gt;&lt;wsp:rsid wsp:val=&quot;00AE6FD0&quot;/&gt;&lt;wsp:rsid wsp:val=&quot;00AF3DAC&quot;/&gt;&lt;wsp:rsid wsp:val=&quot;00B033E2&quot;/&gt;&lt;wsp:rsid wsp:val=&quot;00B042B8&quot;/&gt;&lt;wsp:rsid wsp:val=&quot;00B0788B&quot;/&gt;&lt;wsp:rsid wsp:val=&quot;00B15A32&quot;/&gt;&lt;wsp:rsid wsp:val=&quot;00B1709F&quot;/&gt;&lt;wsp:rsid wsp:val=&quot;00B17E24&quot;/&gt;&lt;wsp:rsid wsp:val=&quot;00B23279&quot;/&gt;&lt;wsp:rsid wsp:val=&quot;00B34A55&quot;/&gt;&lt;wsp:rsid wsp:val=&quot;00B400EB&quot;/&gt;&lt;wsp:rsid wsp:val=&quot;00B41E85&quot;/&gt;&lt;wsp:rsid wsp:val=&quot;00B449E3&quot;/&gt;&lt;wsp:rsid wsp:val=&quot;00B520C3&quot;/&gt;&lt;wsp:rsid wsp:val=&quot;00B6074E&quot;/&gt;&lt;wsp:rsid wsp:val=&quot;00B650B3&quot;/&gt;&lt;wsp:rsid wsp:val=&quot;00B6529E&quot;/&gt;&lt;wsp:rsid wsp:val=&quot;00B73DDD&quot;/&gt;&lt;wsp:rsid wsp:val=&quot;00B74FD9&quot;/&gt;&lt;wsp:rsid wsp:val=&quot;00B76F05&quot;/&gt;&lt;wsp:rsid wsp:val=&quot;00B819F9&quot;/&gt;&lt;wsp:rsid wsp:val=&quot;00B84E6C&quot;/&gt;&lt;wsp:rsid wsp:val=&quot;00B9330F&quot;/&gt;&lt;wsp:rsid wsp:val=&quot;00B933D3&quot;/&gt;&lt;wsp:rsid wsp:val=&quot;00B9492F&quot;/&gt;&lt;wsp:rsid wsp:val=&quot;00B95424&quot;/&gt;&lt;wsp:rsid wsp:val=&quot;00B957A2&quot;/&gt;&lt;wsp:rsid wsp:val=&quot;00BA4368&quot;/&gt;&lt;wsp:rsid wsp:val=&quot;00BA7DEE&quot;/&gt;&lt;wsp:rsid wsp:val=&quot;00BB19C2&quot;/&gt;&lt;wsp:rsid wsp:val=&quot;00BB7096&quot;/&gt;&lt;wsp:rsid wsp:val=&quot;00BD3217&quot;/&gt;&lt;wsp:rsid wsp:val=&quot;00BD36D1&quot;/&gt;&lt;wsp:rsid wsp:val=&quot;00BD777B&quot;/&gt;&lt;wsp:rsid wsp:val=&quot;00BE25C4&quot;/&gt;&lt;wsp:rsid wsp:val=&quot;00BE325C&quot;/&gt;&lt;wsp:rsid wsp:val=&quot;00BE7BE9&quot;/&gt;&lt;wsp:rsid wsp:val=&quot;00BF04C0&quot;/&gt;&lt;wsp:rsid wsp:val=&quot;00BF3CBB&quot;/&gt;&lt;wsp:rsid wsp:val=&quot;00BF4BB6&quot;/&gt;&lt;wsp:rsid wsp:val=&quot;00BF61AB&quot;/&gt;&lt;wsp:rsid wsp:val=&quot;00BF7AAE&quot;/&gt;&lt;wsp:rsid wsp:val=&quot;00C014CC&quot;/&gt;&lt;wsp:rsid wsp:val=&quot;00C10F2C&quot;/&gt;&lt;wsp:rsid wsp:val=&quot;00C152AF&quot;/&gt;&lt;wsp:rsid wsp:val=&quot;00C15934&quot;/&gt;&lt;wsp:rsid wsp:val=&quot;00C169D5&quot;/&gt;&lt;wsp:rsid wsp:val=&quot;00C238D9&quot;/&gt;&lt;wsp:rsid wsp:val=&quot;00C245D2&quot;/&gt;&lt;wsp:rsid wsp:val=&quot;00C25B99&quot;/&gt;&lt;wsp:rsid wsp:val=&quot;00C26445&quot;/&gt;&lt;wsp:rsid wsp:val=&quot;00C31C8D&quot;/&gt;&lt;wsp:rsid wsp:val=&quot;00C3691A&quot;/&gt;&lt;wsp:rsid wsp:val=&quot;00C401A8&quot;/&gt;&lt;wsp:rsid wsp:val=&quot;00C4024B&quot;/&gt;&lt;wsp:rsid wsp:val=&quot;00C44FAD&quot;/&gt;&lt;wsp:rsid wsp:val=&quot;00C45692&quot;/&gt;&lt;wsp:rsid wsp:val=&quot;00C458B0&quot;/&gt;&lt;wsp:rsid wsp:val=&quot;00C5612B&quot;/&gt;&lt;wsp:rsid wsp:val=&quot;00C70A09&quot;/&gt;&lt;wsp:rsid wsp:val=&quot;00C74C4F&quot;/&gt;&lt;wsp:rsid wsp:val=&quot;00C90170&quot;/&gt;&lt;wsp:rsid wsp:val=&quot;00C927CB&quot;/&gt;&lt;wsp:rsid wsp:val=&quot;00CA41D2&quot;/&gt;&lt;wsp:rsid wsp:val=&quot;00CB7491&quot;/&gt;&lt;wsp:rsid wsp:val=&quot;00CC1E99&quot;/&gt;&lt;wsp:rsid wsp:val=&quot;00CC46CB&quot;/&gt;&lt;wsp:rsid wsp:val=&quot;00CC7735&quot;/&gt;&lt;wsp:rsid wsp:val=&quot;00CD2E17&quot;/&gt;&lt;wsp:rsid wsp:val=&quot;00CD3B44&quot;/&gt;&lt;wsp:rsid wsp:val=&quot;00CE2EE7&quot;/&gt;&lt;wsp:rsid wsp:val=&quot;00CE2F60&quot;/&gt;&lt;wsp:rsid wsp:val=&quot;00CF0147&quot;/&gt;&lt;wsp:rsid wsp:val=&quot;00CF0D15&quot;/&gt;&lt;wsp:rsid wsp:val=&quot;00CF545D&quot;/&gt;&lt;wsp:rsid wsp:val=&quot;00D04B49&quot;/&gt;&lt;wsp:rsid wsp:val=&quot;00D129B6&quot;/&gt;&lt;wsp:rsid wsp:val=&quot;00D12E4E&quot;/&gt;&lt;wsp:rsid wsp:val=&quot;00D376D9&quot;/&gt;&lt;wsp:rsid wsp:val=&quot;00D42055&quot;/&gt;&lt;wsp:rsid wsp:val=&quot;00D44A5D&quot;/&gt;&lt;wsp:rsid wsp:val=&quot;00D51A11&quot;/&gt;&lt;wsp:rsid wsp:val=&quot;00D53F2E&quot;/&gt;&lt;wsp:rsid wsp:val=&quot;00D6018E&quot;/&gt;&lt;wsp:rsid wsp:val=&quot;00D628D4&quot;/&gt;&lt;wsp:rsid wsp:val=&quot;00D76247&quot;/&gt;&lt;wsp:rsid wsp:val=&quot;00D77150&quot;/&gt;&lt;wsp:rsid wsp:val=&quot;00D80596&quot;/&gt;&lt;wsp:rsid wsp:val=&quot;00DA4F65&quot;/&gt;&lt;wsp:rsid wsp:val=&quot;00DA5926&quot;/&gt;&lt;wsp:rsid wsp:val=&quot;00DB2DA3&quot;/&gt;&lt;wsp:rsid wsp:val=&quot;00DB2F54&quot;/&gt;&lt;wsp:rsid wsp:val=&quot;00DB4E0E&quot;/&gt;&lt;wsp:rsid wsp:val=&quot;00DB50AD&quot;/&gt;&lt;wsp:rsid wsp:val=&quot;00DB51D0&quot;/&gt;&lt;wsp:rsid wsp:val=&quot;00DB66AD&quot;/&gt;&lt;wsp:rsid wsp:val=&quot;00DC66D3&quot;/&gt;&lt;wsp:rsid wsp:val=&quot;00DD57E4&quot;/&gt;&lt;wsp:rsid wsp:val=&quot;00DD7499&quot;/&gt;&lt;wsp:rsid wsp:val=&quot;00DE163E&quot;/&gt;&lt;wsp:rsid wsp:val=&quot;00DE7A1B&quot;/&gt;&lt;wsp:rsid wsp:val=&quot;00DF115C&quot;/&gt;&lt;wsp:rsid wsp:val=&quot;00DF59AB&quot;/&gt;&lt;wsp:rsid wsp:val=&quot;00E02026&quot;/&gt;&lt;wsp:rsid wsp:val=&quot;00E02BC0&quot;/&gt;&lt;wsp:rsid wsp:val=&quot;00E066A1&quot;/&gt;&lt;wsp:rsid wsp:val=&quot;00E07ED7&quot;/&gt;&lt;wsp:rsid wsp:val=&quot;00E145A1&quot;/&gt;&lt;wsp:rsid wsp:val=&quot;00E157AB&quot;/&gt;&lt;wsp:rsid wsp:val=&quot;00E23C73&quot;/&gt;&lt;wsp:rsid wsp:val=&quot;00E24B2D&quot;/&gt;&lt;wsp:rsid wsp:val=&quot;00E31F51&quot;/&gt;&lt;wsp:rsid wsp:val=&quot;00E348E8&quot;/&gt;&lt;wsp:rsid wsp:val=&quot;00E66294&quot;/&gt;&lt;wsp:rsid wsp:val=&quot;00E72192&quot;/&gt;&lt;wsp:rsid wsp:val=&quot;00E74B3D&quot;/&gt;&lt;wsp:rsid wsp:val=&quot;00E77339&quot;/&gt;&lt;wsp:rsid wsp:val=&quot;00E85898&quot;/&gt;&lt;wsp:rsid wsp:val=&quot;00E87F96&quot;/&gt;&lt;wsp:rsid wsp:val=&quot;00E9430E&quot;/&gt;&lt;wsp:rsid wsp:val=&quot;00EA38C9&quot;/&gt;&lt;wsp:rsid wsp:val=&quot;00EA47ED&quot;/&gt;&lt;wsp:rsid wsp:val=&quot;00EA5A54&quot;/&gt;&lt;wsp:rsid wsp:val=&quot;00EB11EC&quot;/&gt;&lt;wsp:rsid wsp:val=&quot;00EB1B59&quot;/&gt;&lt;wsp:rsid wsp:val=&quot;00EC2792&quot;/&gt;&lt;wsp:rsid wsp:val=&quot;00EC4E79&quot;/&gt;&lt;wsp:rsid wsp:val=&quot;00EC637F&quot;/&gt;&lt;wsp:rsid wsp:val=&quot;00ED0586&quot;/&gt;&lt;wsp:rsid wsp:val=&quot;00ED4CFB&quot;/&gt;&lt;wsp:rsid wsp:val=&quot;00EE15BD&quot;/&gt;&lt;wsp:rsid wsp:val=&quot;00EF0681&quot;/&gt;&lt;wsp:rsid wsp:val=&quot;00F1295C&quot;/&gt;&lt;wsp:rsid wsp:val=&quot;00F2326E&quot;/&gt;&lt;wsp:rsid wsp:val=&quot;00F23DB7&quot;/&gt;&lt;wsp:rsid wsp:val=&quot;00F241EE&quot;/&gt;&lt;wsp:rsid wsp:val=&quot;00F31EAA&quot;/&gt;&lt;wsp:rsid wsp:val=&quot;00F3297B&quot;/&gt;&lt;wsp:rsid wsp:val=&quot;00F34BF6&quot;/&gt;&lt;wsp:rsid wsp:val=&quot;00F415C7&quot;/&gt;&lt;wsp:rsid wsp:val=&quot;00F440F6&quot;/&gt;&lt;wsp:rsid wsp:val=&quot;00F45A7C&quot;/&gt;&lt;wsp:rsid wsp:val=&quot;00F47CA1&quot;/&gt;&lt;wsp:rsid wsp:val=&quot;00F6173F&quot;/&gt;&lt;wsp:rsid wsp:val=&quot;00F718B1&quot;/&gt;&lt;wsp:rsid wsp:val=&quot;00F744EC&quot;/&gt;&lt;wsp:rsid wsp:val=&quot;00F773B5&quot;/&gt;&lt;wsp:rsid wsp:val=&quot;00F814B3&quot;/&gt;&lt;wsp:rsid wsp:val=&quot;00F853A9&quot;/&gt;&lt;wsp:rsid wsp:val=&quot;00F85F38&quot;/&gt;&lt;wsp:rsid wsp:val=&quot;00F872D6&quot;/&gt;&lt;wsp:rsid wsp:val=&quot;00F87F6B&quot;/&gt;&lt;wsp:rsid wsp:val=&quot;00F90525&quot;/&gt;&lt;wsp:rsid wsp:val=&quot;00F96CBC&quot;/&gt;&lt;wsp:rsid wsp:val=&quot;00FA2407&quot;/&gt;&lt;wsp:rsid wsp:val=&quot;00FA5B08&quot;/&gt;&lt;wsp:rsid wsp:val=&quot;00FA6B24&quot;/&gt;&lt;wsp:rsid wsp:val=&quot;00FC5740&quot;/&gt;&lt;wsp:rsid wsp:val=&quot;00FD38BC&quot;/&gt;&lt;wsp:rsid wsp:val=&quot;00FD47EA&quot;/&gt;&lt;wsp:rsid wsp:val=&quot;00FD58E4&quot;/&gt;&lt;wsp:rsid wsp:val=&quot;00FE0439&quot;/&gt;&lt;wsp:rsid wsp:val=&quot;00FE0CD8&quot;/&gt;&lt;wsp:rsid wsp:val=&quot;00FE4B6B&quot;/&gt;&lt;wsp:rsid wsp:val=&quot;00FF2E08&quot;/&gt;&lt;/wsp:rsids&gt;&lt;/w:docPr&gt;&lt;w:body&gt;&lt;wx:sect&gt;&lt;w:p wsp:rsidR=&quot;00000000&quot; wsp:rsidRPr=&quot;0013146A&quot; wsp:rsidRDefault=&quot;0013146A&quot; wsp:rsidP=&quot;0013146A&quot;&gt;&lt;m:oMathPara&gt;&lt;m:oMath&gt;&lt;m:r&gt;&lt;m:rPr&gt;&lt;m:sty m:val=&quot;p&quot;/&gt;&lt;/m:rPr&gt;&lt;w:rPr&gt;&lt;w:rFonts w:ascii=&quot;Cambria Math&quot; w:h-ansi=&quot;宋体&quot; w:cs=&quot;宋体&quot;/&gt;&lt;wx:font wx:val=&quot;Cambria Math&quot;/&gt;&lt;w:kern w:val=&quot;0&quot;/&gt;&lt;w:sz w:val=&quot;20&quot;/&gt;&lt;w:sz-cs w:val=&quot;20&quot;/&gt;&lt;/w:rPr&gt;&lt;m:t&gt;Z=&lt;/m:t&gt;&lt;/m:r&gt;&lt;m:r&gt;&lt;m:rPr&gt;&lt;m:sty m:val=&quot;p&quot;/&gt;&lt;/m:rPr&gt;&lt;w:rPr&gt;&lt;w:rFonts w:ascii=&quot;Cambria Math&quot; w:h-ansi=&quot;宋体&quot; w:cs=&quot;宋体&quot; w:hint=&quot;fareast&quot;/&gt;&lt;wx:font wx:val=&quot;宋体&quot;/&gt;&lt;w:kern w:val=&quot;0&quot;/&gt;&lt;w:sz w:val=&quot;20&quot;/&gt;&lt;w:sz-cs w:val=&quot;20&quot;/&gt;&lt;/w:rPr&gt;&lt;m:t&gt;（&lt;/m:t&gt;&lt;/m:r&gt;&lt;m:f&gt;&lt;m:fPr&gt;&lt;m:ctrlPr&gt;&lt;w:rPr&gt;&lt;w:rFonts w:ascii=&quot;Cambria Math&quot; w:h-ansi=&quot;Cambria Math&quot; w:cs=&quot;宋体&quot;/&gt;&lt;wx:font wx:val=&quot;Cambria Math&quot;/&gt;&lt;w:i/&gt;&lt;/w:rPr&gt;&lt;/m:ctrlPr&gt;&lt;/m:fPr&gt;&lt;m:num&gt;&lt;m:nary&gt;&lt;m:naryPr&gt;&lt;m:chr m:val=&quot;∑&quot;/&gt;&lt;m:limLoc m:val=&quot;undOvr&quot;/&gt;&lt;m:ctrlPr&gt;&lt;w:rPr&gt;&lt;w:rFonts w:ascii=&quot;Cambria Math&quot; w:h-ansi=&quot;宋体&quot; w:cs=&quot;宋体&quot;/&gt;&lt;wx:font wx:val=&quot;Cambria Math&quot;/&gt;&lt;/w:rPr&gt;&lt;/m:ctrlPr&gt;&lt;/m:naryPr&gt;&lt;m:sub&gt;&lt;m:r&gt;&lt;m:rPr&gt;&lt;m:sty m:val=&quot;p&quot;/&gt;&lt;/m:rPr&gt;&lt;w:rPr&gt;&lt;w:rFonts w:ascii=&quot;Cambria Math&quot; w:h-ansi=&quot;宋体&quot; w:cs=&quot;宋体&quot;/&gt;&lt;wx:font wx:val=&quot;Cambria Math&quot;/&gt;&lt;w:kern w:val=&quot;0&quot;/&gt;&lt;w:sz w:val=&quot;20&quot;/&gt;&lt;w:sz-cs w:val=&quot;20&quot;/&gt;&lt;/w:rPr&gt;&lt;m:t&gt;i=1&lt;/m:t&gt;&lt;/m:r&gt;&lt;/m:sub&gt;&lt;m:sup&gt;&lt;m:r&gt;&lt;m:rPr&gt;&lt;m:sty m:val=&quot;p&quot;/&gt;&lt;/m:rPr&gt;&lt;w:rPr&gt;&lt;w:rFonts w:ascii=&quot;Cambria Math&quot; w:h-ansi=&quot;宋体&quot; w:cs=&quot;宋体&quot;/&gt;&lt;wx:font wx:val=&quot;Cambria Math&quot;/&gt;&lt;w:kern w:val=&quot;0&quot;/&gt;&lt;w:sz w:val=&quot;20&quot;/&gt;&lt;w:sz-cs w:val=&quot;20&quot;/&gt;&lt;/w:rPr&gt;&lt;m:t&gt;n&lt;/m:t&gt;&lt;/m:r&gt;&lt;/m:sup&gt;&lt;m:e&gt;&lt;m:sSub&gt;&lt;m:sSubPr&gt;&lt;m:ctrlPr&gt;&lt;w:rPr&gt;&lt;w:rFonts w:ascii=&quot;Cambria Math&quot; w:h-ansi=&quot;宋体&quot; w:cs=&quot;宋体&quot;/&gt;&lt;wx:font wx:val=&quot;Cambria Math&quot;/&gt;&lt;/w:rPr&gt;&lt;/m:ctrlPr&gt;&lt;/m:sSubPr&gt;&lt;m:e&gt;&lt;m:r&gt;&lt;m:rPr&gt;&lt;m:sty m:val=&quot;p&quot;/&gt;&lt;/m:rPr&gt;&lt;w:rPr&gt;&lt;w:rFonts w:ascii=&quot;Cambria Math&quot; w:h-ansi=&quot;宋体&quot; w:cs=&quot;宋体&quot;/&gt;&lt;wx:font wx:val=&quot;Cambria Math&quot;/&gt;&lt;w:kern w:val=&quot;0&quot;/&gt;&lt;w:sz w:val=&quot;20&quot;/&gt;&lt;w:sz-cs w:val=&quot;20&quot;/&gt;&lt;/w:rPr&gt;&lt;m:t&gt;E&lt;/m:t&gt;&lt;/m:r&gt;&lt;/m:e&gt;&lt;m:sub&gt;&lt;m:r&gt;&lt;m:rPr&gt;&lt;m:sty m:val=&quot;p&quot;/&gt;&lt;/m:rPr&gt;&lt;w:rPr&gt;&lt;w:rFonts w:ascii=&quot;Cambria Math&quot; w:h-ansi=&quot;宋体&quot; w:cs=&quot;宋体&quot;/&gt;&lt;wx:font wx:val=&quot;Cambria Math&quot;/&gt;&lt;w:kern w:val=&quot;0&quot;/&gt;&lt;w:sz w:val=&quot;20&quot;/&gt;&lt;w:sz-cs w:val=&quot;20&quot;/&gt;&lt;/w:rPr&gt;&lt;m:t&gt;i&lt;/m:t&gt;&lt;/m:r&gt;&lt;/m:sub&gt;&lt;/m:sSub&gt;&lt;/m:e&gt;&lt;/m:nary&gt;&lt;m:ctrlPr&gt;&lt;w:rPr&gt;&lt;w:rFonts w:ascii=&quot;Cambria Math&quot; w:h-ansi=&quot;宋体&quot; w:cs=&quot;宋体&quot;/&gt;&lt;wx:font wx:val=&quot;Cambria Math&quot;/&gt;&lt;/w:rPr&gt;&lt;/m:ctrlPr&gt;&lt;/m:num&gt;&lt;m:den&gt;&lt;m:r&gt;&lt;w:rPr&gt;&lt;w:rFonts w:ascii=&quot;Cambria Math&quot; w:h-ansi=&quot;Cambria Math&quot; w:cs=&quot;宋体&quot;/&gt;&lt;wx:font wx:val=&quot;Cambria Math&quot;/&gt;&lt;w:i/&gt;&lt;w:kern w:val=&quot;0&quot;/&gt;&lt;w:sz w:val=&quot;20&quot;/&gt;&lt;w:sz-cs w:val=&quot;20&quot;/&gt;&lt;/w:rPr&gt;&lt;m:t&gt;160&lt;/m:t&gt;&lt;/m:r&gt;&lt;/m:den&gt;&lt;/m:f&gt;&lt;m:r&gt;&lt;m:rPr&gt;&lt;m:sty m:val=&quot;p&quot;/&gt;&lt;/m:rPr&gt;&lt;w:rPr&gt;&lt;w:rFonts w:ascii=&quot;Cambria Math&quot; w:h-ansi=&quot;Cambria Math&quot; w:cs=&quot;宋体&quot; w:hint=&quot;fareast&quot;/&gt;&lt;wx:font wx:val=&quot;宋体&quot;/&gt;&lt;w:kern w:val=&quot;0&quot;/&gt;&lt;w:sz w:val=&quot;20&quot;/&gt;&lt;w:sz-cs w:val=&quot;20&quot;/&gt;&lt;/w:rPr&gt;&lt;m:t&gt;）&lt;/m:t&gt;&lt;/m:r&gt;&lt;m:r&gt;&lt;w:rPr&gt;&lt;w:rFonts w:ascii=&quot;Cambria Math&quot; w:h-ansi=&quot;Cambria Math&quot; w:cs=&quot;宋体&quot; w:hint=&quot;fareast&quot;/&gt;&lt;wx:font wx:val=&quot;宋体&quot;/&gt;&lt;w:i/&gt;&lt;w:kern w:val=&quot;0&quot;/&gt;&lt;w:sz w:val=&quot;20&quot;/&gt;&lt;w:sz-cs w:val=&quot;20&quot;/&gt;&lt;/w:rPr&gt;&lt;m:t&gt;×&lt;/m:t&gt;&lt;/m:r&gt;&lt;m:r&gt;&lt;w:rPr&gt;&lt;w:rFonts w:ascii=&quot;Cambria Math&quot; w:h-ansi=&quot;Cambria Math&quot; w:cs=&quot;宋体&quot;/&gt;&lt;wx:font wx:val=&quot;Cambria Math&quot;/&gt;&lt;w:i/&gt;&lt;w:kern w:val=&quot;0&quot;/&gt;&lt;w:sz w:val=&quot;20&quot;/&gt;&lt;w:sz-cs w:val=&quot;20&quot;/&gt;&lt;/w:rPr&gt;&lt;m:t&gt;100&lt;/m:t&gt;&lt;/m:r&gt;&lt;/m:oMath&gt;&lt;/m:oMathPara&gt;&lt;/w:p&gt;&lt;w:sectPr wsp:rsidR=&quot;00000000&quot; wsp:rsidRPr=&quot;0013146A&quot;&gt;&lt;w:pgSz w:w=&quot;12240&quot; w:h=&quot;15840&quot;/&gt;&lt;w:pgMar w:top=&quot;1440&quot; w:right=&quot;1800&quot; w:bottom=&quot;1440&quot; w:left=&quot;1800&quot; w:header=&quot;720&quot; w:footer=&quot;720&quot; w:gutter=&quot;0&quot;/&gt;&lt;w:cols w:space=&quot;720&quot;/&gt;&lt;/w:sectPr&gt;&lt;/wx:sect&gt;&lt;/w:body&gt;&lt;/w:wordDocument&gt;">
                  <v:path/>
                  <v:fill on="f" focussize="0,0"/>
                  <v:stroke on="f"/>
                  <v:imagedata r:id="rId5" chromakey="#FFFFFF" o:title=""/>
                  <o:lock v:ext="edit" aspectratio="t"/>
                  <w10:wrap type="none"/>
                  <w10:anchorlock/>
                </v:shape>
              </w:pict>
            </w:r>
          </w:p>
          <w:p>
            <w:pPr>
              <w:autoSpaceDE w:val="0"/>
              <w:autoSpaceDN w:val="0"/>
              <w:adjustRightInd w:val="0"/>
              <w:ind w:firstLine="392" w:firstLineChars="200"/>
              <w:jc w:val="left"/>
              <w:rPr>
                <w:rFonts w:ascii="宋体" w:hAnsi="宋体" w:cs="宋体"/>
                <w:color w:val="000000"/>
                <w:kern w:val="0"/>
                <w:sz w:val="20"/>
                <w:szCs w:val="20"/>
              </w:rPr>
            </w:pPr>
            <w:r>
              <w:rPr>
                <w:rFonts w:hint="eastAsia" w:ascii="宋体" w:hAnsi="宋体" w:cs="宋体"/>
                <w:color w:val="000000"/>
                <w:kern w:val="0"/>
                <w:sz w:val="20"/>
                <w:szCs w:val="20"/>
              </w:rPr>
              <w:t>式中：Z—化工园区总分值；E</w:t>
            </w:r>
            <w:r>
              <w:rPr>
                <w:rFonts w:hint="eastAsia" w:ascii="宋体" w:hAnsi="宋体" w:cs="宋体"/>
                <w:color w:val="000000"/>
                <w:kern w:val="0"/>
                <w:sz w:val="20"/>
                <w:szCs w:val="20"/>
                <w:vertAlign w:val="subscript"/>
              </w:rPr>
              <w:t>i</w:t>
            </w:r>
            <w:r>
              <w:rPr>
                <w:rFonts w:hint="eastAsia" w:ascii="宋体" w:hAnsi="宋体" w:cs="宋体"/>
                <w:color w:val="000000"/>
                <w:kern w:val="0"/>
                <w:sz w:val="20"/>
                <w:szCs w:val="20"/>
              </w:rPr>
              <w:t>—单项排查内容分值。</w:t>
            </w:r>
          </w:p>
          <w:p>
            <w:pPr>
              <w:rPr>
                <w:rFonts w:ascii="仿宋_GB2312" w:eastAsia="仿宋_GB2312"/>
                <w:color w:val="000000"/>
                <w:sz w:val="24"/>
                <w:szCs w:val="24"/>
              </w:rPr>
            </w:pPr>
            <w:r>
              <w:rPr>
                <w:rFonts w:hint="eastAsia"/>
                <w:color w:val="000000"/>
              </w:rPr>
              <w:t>4.根据评分结果，85分以上为优秀，70-84分</w:t>
            </w:r>
            <w:r>
              <w:rPr>
                <w:color w:val="000000"/>
              </w:rPr>
              <w:t>为</w:t>
            </w:r>
            <w:r>
              <w:rPr>
                <w:rFonts w:hint="eastAsia"/>
                <w:color w:val="000000"/>
              </w:rPr>
              <w:t>良好，60-69分</w:t>
            </w:r>
            <w:r>
              <w:rPr>
                <w:color w:val="000000"/>
              </w:rPr>
              <w:t>为</w:t>
            </w:r>
            <w:r>
              <w:rPr>
                <w:rFonts w:hint="eastAsia"/>
                <w:color w:val="000000"/>
              </w:rPr>
              <w:t>基本合格，59分以下不合格。</w:t>
            </w:r>
          </w:p>
        </w:tc>
      </w:tr>
    </w:tbl>
    <w:p>
      <w:pPr>
        <w:spacing w:line="560" w:lineRule="exact"/>
        <w:rPr>
          <w:rFonts w:ascii="仿宋_GB2312" w:eastAsia="仿宋_GB2312"/>
          <w:sz w:val="32"/>
          <w:szCs w:val="32"/>
        </w:rPr>
      </w:pPr>
    </w:p>
    <w:sectPr>
      <w:pgSz w:w="16838" w:h="11906" w:orient="landscape"/>
      <w:pgMar w:top="1588" w:right="2098" w:bottom="1474" w:left="1985" w:header="851" w:footer="992" w:gutter="0"/>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FZXiaoBiaoSong-B05">
    <w:altName w:val="Arial Unicode MS"/>
    <w:panose1 w:val="00000000000000000000"/>
    <w:charset w:val="86"/>
    <w:family w:val="swiss"/>
    <w:pitch w:val="default"/>
    <w:sig w:usb0="00000001" w:usb1="080E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1" w:usb1="080E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PAGE   \* MERGEFORMAT</w:instrText>
    </w:r>
    <w:r>
      <w:fldChar w:fldCharType="separate"/>
    </w:r>
    <w:r>
      <w:rPr>
        <w:lang w:val="zh-CN"/>
      </w:rPr>
      <w:t>1</w:t>
    </w:r>
    <w:r>
      <w:fldChar w:fldCharType="end"/>
    </w:r>
  </w:p>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dit="trackedChanges" w:enforcement="0"/>
  <w:defaultTabStop w:val="420"/>
  <w:hyphenationZone w:val="360"/>
  <w:drawingGridHorizontalSpacing w:val="103"/>
  <w:drawingGridVerticalSpacing w:val="579"/>
  <w:displayHorizontalDrawingGridEvery w:val="0"/>
  <w:displayVerticalDrawingGridEvery w:val="1"/>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16056"/>
    <w:rsid w:val="00005314"/>
    <w:rsid w:val="00006107"/>
    <w:rsid w:val="00013844"/>
    <w:rsid w:val="00020955"/>
    <w:rsid w:val="0003115E"/>
    <w:rsid w:val="0003527A"/>
    <w:rsid w:val="000476EE"/>
    <w:rsid w:val="00051D41"/>
    <w:rsid w:val="00054437"/>
    <w:rsid w:val="0005609F"/>
    <w:rsid w:val="00065C11"/>
    <w:rsid w:val="000739E5"/>
    <w:rsid w:val="00081F94"/>
    <w:rsid w:val="00085F7B"/>
    <w:rsid w:val="00086151"/>
    <w:rsid w:val="00090A82"/>
    <w:rsid w:val="00094ADD"/>
    <w:rsid w:val="000A193D"/>
    <w:rsid w:val="000A2106"/>
    <w:rsid w:val="000A2251"/>
    <w:rsid w:val="000B37B3"/>
    <w:rsid w:val="000B4390"/>
    <w:rsid w:val="000B62E1"/>
    <w:rsid w:val="000C40AF"/>
    <w:rsid w:val="000C66E3"/>
    <w:rsid w:val="000E4E78"/>
    <w:rsid w:val="000F043C"/>
    <w:rsid w:val="000F2CCD"/>
    <w:rsid w:val="000F5904"/>
    <w:rsid w:val="000F65C2"/>
    <w:rsid w:val="00101B46"/>
    <w:rsid w:val="001023E6"/>
    <w:rsid w:val="00105823"/>
    <w:rsid w:val="0011400F"/>
    <w:rsid w:val="00114BAD"/>
    <w:rsid w:val="00122120"/>
    <w:rsid w:val="0012346D"/>
    <w:rsid w:val="0013097A"/>
    <w:rsid w:val="00131758"/>
    <w:rsid w:val="00142B09"/>
    <w:rsid w:val="00145E82"/>
    <w:rsid w:val="00152E7A"/>
    <w:rsid w:val="001532D0"/>
    <w:rsid w:val="001606AF"/>
    <w:rsid w:val="001668E0"/>
    <w:rsid w:val="00175444"/>
    <w:rsid w:val="0017586C"/>
    <w:rsid w:val="001775C5"/>
    <w:rsid w:val="0018224A"/>
    <w:rsid w:val="001834D4"/>
    <w:rsid w:val="001978BA"/>
    <w:rsid w:val="001A06C4"/>
    <w:rsid w:val="001B5112"/>
    <w:rsid w:val="001B533F"/>
    <w:rsid w:val="001C37D6"/>
    <w:rsid w:val="001C4C3D"/>
    <w:rsid w:val="001C6621"/>
    <w:rsid w:val="001D3106"/>
    <w:rsid w:val="001D317A"/>
    <w:rsid w:val="001D5295"/>
    <w:rsid w:val="001D5D7D"/>
    <w:rsid w:val="001E171F"/>
    <w:rsid w:val="001E6BB4"/>
    <w:rsid w:val="001E758E"/>
    <w:rsid w:val="001F389F"/>
    <w:rsid w:val="001F3CDA"/>
    <w:rsid w:val="001F7269"/>
    <w:rsid w:val="00201B45"/>
    <w:rsid w:val="0020404F"/>
    <w:rsid w:val="0020653F"/>
    <w:rsid w:val="0021131B"/>
    <w:rsid w:val="00211F68"/>
    <w:rsid w:val="002147FE"/>
    <w:rsid w:val="00216873"/>
    <w:rsid w:val="002207BD"/>
    <w:rsid w:val="002209A1"/>
    <w:rsid w:val="00222E82"/>
    <w:rsid w:val="00223A8A"/>
    <w:rsid w:val="002257C2"/>
    <w:rsid w:val="00225E1C"/>
    <w:rsid w:val="00230790"/>
    <w:rsid w:val="00230FF4"/>
    <w:rsid w:val="00243EB2"/>
    <w:rsid w:val="002443D5"/>
    <w:rsid w:val="00244464"/>
    <w:rsid w:val="002508ED"/>
    <w:rsid w:val="00252DBC"/>
    <w:rsid w:val="00257920"/>
    <w:rsid w:val="00260BB2"/>
    <w:rsid w:val="0026188C"/>
    <w:rsid w:val="00274DD2"/>
    <w:rsid w:val="002807EF"/>
    <w:rsid w:val="00286AB2"/>
    <w:rsid w:val="002930D7"/>
    <w:rsid w:val="002934EC"/>
    <w:rsid w:val="002A109A"/>
    <w:rsid w:val="002A2454"/>
    <w:rsid w:val="002A3707"/>
    <w:rsid w:val="002A7922"/>
    <w:rsid w:val="002B46B3"/>
    <w:rsid w:val="002C7C7A"/>
    <w:rsid w:val="002D4176"/>
    <w:rsid w:val="002D4E55"/>
    <w:rsid w:val="002D532B"/>
    <w:rsid w:val="002F0AE3"/>
    <w:rsid w:val="002F233B"/>
    <w:rsid w:val="002F429D"/>
    <w:rsid w:val="002F4CD4"/>
    <w:rsid w:val="002F522E"/>
    <w:rsid w:val="0030017D"/>
    <w:rsid w:val="00301918"/>
    <w:rsid w:val="00315480"/>
    <w:rsid w:val="00315F76"/>
    <w:rsid w:val="00317768"/>
    <w:rsid w:val="003273E9"/>
    <w:rsid w:val="00335185"/>
    <w:rsid w:val="00335E54"/>
    <w:rsid w:val="00342461"/>
    <w:rsid w:val="00344DE5"/>
    <w:rsid w:val="0034557C"/>
    <w:rsid w:val="003516B8"/>
    <w:rsid w:val="00356602"/>
    <w:rsid w:val="00357C66"/>
    <w:rsid w:val="0036058C"/>
    <w:rsid w:val="003656EE"/>
    <w:rsid w:val="00370A0E"/>
    <w:rsid w:val="003735FD"/>
    <w:rsid w:val="00373E19"/>
    <w:rsid w:val="003743BE"/>
    <w:rsid w:val="003861D7"/>
    <w:rsid w:val="003903E3"/>
    <w:rsid w:val="00394D87"/>
    <w:rsid w:val="003955B9"/>
    <w:rsid w:val="00395732"/>
    <w:rsid w:val="003969B7"/>
    <w:rsid w:val="003A03B3"/>
    <w:rsid w:val="003A065F"/>
    <w:rsid w:val="003A5CE6"/>
    <w:rsid w:val="003B4CC9"/>
    <w:rsid w:val="003C0078"/>
    <w:rsid w:val="003C0409"/>
    <w:rsid w:val="003C1CDE"/>
    <w:rsid w:val="003C4EA1"/>
    <w:rsid w:val="003C71B1"/>
    <w:rsid w:val="003C79D2"/>
    <w:rsid w:val="003D2E9B"/>
    <w:rsid w:val="003D347F"/>
    <w:rsid w:val="003D4C3D"/>
    <w:rsid w:val="003D7DC1"/>
    <w:rsid w:val="003E4A8B"/>
    <w:rsid w:val="003E654C"/>
    <w:rsid w:val="003F46CE"/>
    <w:rsid w:val="003F7F2E"/>
    <w:rsid w:val="00407297"/>
    <w:rsid w:val="0042067F"/>
    <w:rsid w:val="004222A5"/>
    <w:rsid w:val="0042422D"/>
    <w:rsid w:val="004247A3"/>
    <w:rsid w:val="004333A5"/>
    <w:rsid w:val="00435AA9"/>
    <w:rsid w:val="004502BB"/>
    <w:rsid w:val="00452A49"/>
    <w:rsid w:val="004538A7"/>
    <w:rsid w:val="00456AB7"/>
    <w:rsid w:val="00471E12"/>
    <w:rsid w:val="004748E8"/>
    <w:rsid w:val="004806B4"/>
    <w:rsid w:val="00483F4C"/>
    <w:rsid w:val="00484BF2"/>
    <w:rsid w:val="004915A1"/>
    <w:rsid w:val="00492B5F"/>
    <w:rsid w:val="00494B69"/>
    <w:rsid w:val="004A2BEF"/>
    <w:rsid w:val="004A3368"/>
    <w:rsid w:val="004A5CB1"/>
    <w:rsid w:val="004B1BB5"/>
    <w:rsid w:val="004D1333"/>
    <w:rsid w:val="004E5E25"/>
    <w:rsid w:val="004F0288"/>
    <w:rsid w:val="004F5798"/>
    <w:rsid w:val="00500AC6"/>
    <w:rsid w:val="00503DF0"/>
    <w:rsid w:val="005110C1"/>
    <w:rsid w:val="00513187"/>
    <w:rsid w:val="005132DF"/>
    <w:rsid w:val="00513B0A"/>
    <w:rsid w:val="0051576F"/>
    <w:rsid w:val="00516056"/>
    <w:rsid w:val="00526A69"/>
    <w:rsid w:val="005272BF"/>
    <w:rsid w:val="00530A26"/>
    <w:rsid w:val="005373F4"/>
    <w:rsid w:val="00537C3A"/>
    <w:rsid w:val="00542A5D"/>
    <w:rsid w:val="005445F1"/>
    <w:rsid w:val="00544D28"/>
    <w:rsid w:val="0054685F"/>
    <w:rsid w:val="00550705"/>
    <w:rsid w:val="005555B9"/>
    <w:rsid w:val="005568F8"/>
    <w:rsid w:val="00560C53"/>
    <w:rsid w:val="005710B6"/>
    <w:rsid w:val="00571EA8"/>
    <w:rsid w:val="00591416"/>
    <w:rsid w:val="00591CE9"/>
    <w:rsid w:val="00597660"/>
    <w:rsid w:val="005A0049"/>
    <w:rsid w:val="005A2F1B"/>
    <w:rsid w:val="005B43E5"/>
    <w:rsid w:val="005B7B09"/>
    <w:rsid w:val="005C30FB"/>
    <w:rsid w:val="005C475A"/>
    <w:rsid w:val="005D4456"/>
    <w:rsid w:val="005D759A"/>
    <w:rsid w:val="005E3CF1"/>
    <w:rsid w:val="005E494E"/>
    <w:rsid w:val="005E6D4C"/>
    <w:rsid w:val="005F360F"/>
    <w:rsid w:val="00604E88"/>
    <w:rsid w:val="0060581A"/>
    <w:rsid w:val="00611716"/>
    <w:rsid w:val="00615C42"/>
    <w:rsid w:val="00616584"/>
    <w:rsid w:val="00620F1F"/>
    <w:rsid w:val="006220EC"/>
    <w:rsid w:val="006226FE"/>
    <w:rsid w:val="00623F86"/>
    <w:rsid w:val="006244C0"/>
    <w:rsid w:val="00631647"/>
    <w:rsid w:val="00632136"/>
    <w:rsid w:val="00640A89"/>
    <w:rsid w:val="00645DD6"/>
    <w:rsid w:val="006630FF"/>
    <w:rsid w:val="006671FF"/>
    <w:rsid w:val="0066771B"/>
    <w:rsid w:val="006720B8"/>
    <w:rsid w:val="0067602E"/>
    <w:rsid w:val="00676841"/>
    <w:rsid w:val="00676E65"/>
    <w:rsid w:val="00683E44"/>
    <w:rsid w:val="00684D4D"/>
    <w:rsid w:val="00684FAA"/>
    <w:rsid w:val="006863D0"/>
    <w:rsid w:val="00692A63"/>
    <w:rsid w:val="00695D92"/>
    <w:rsid w:val="00697E07"/>
    <w:rsid w:val="006A2EC2"/>
    <w:rsid w:val="006A6391"/>
    <w:rsid w:val="006B0585"/>
    <w:rsid w:val="006B0ABF"/>
    <w:rsid w:val="006B3F03"/>
    <w:rsid w:val="006B602C"/>
    <w:rsid w:val="006B6987"/>
    <w:rsid w:val="006C00BE"/>
    <w:rsid w:val="006C0533"/>
    <w:rsid w:val="006C259B"/>
    <w:rsid w:val="006C3B6E"/>
    <w:rsid w:val="006C6B06"/>
    <w:rsid w:val="006C7646"/>
    <w:rsid w:val="006D6A30"/>
    <w:rsid w:val="006E76CC"/>
    <w:rsid w:val="006F2F6D"/>
    <w:rsid w:val="006F756E"/>
    <w:rsid w:val="0070062E"/>
    <w:rsid w:val="00703B9B"/>
    <w:rsid w:val="007067A8"/>
    <w:rsid w:val="00713D33"/>
    <w:rsid w:val="00715560"/>
    <w:rsid w:val="007155D7"/>
    <w:rsid w:val="00717950"/>
    <w:rsid w:val="007217DB"/>
    <w:rsid w:val="00724F32"/>
    <w:rsid w:val="007268BF"/>
    <w:rsid w:val="00730C20"/>
    <w:rsid w:val="00737459"/>
    <w:rsid w:val="0074011C"/>
    <w:rsid w:val="007436E2"/>
    <w:rsid w:val="007446F0"/>
    <w:rsid w:val="00750701"/>
    <w:rsid w:val="00751A58"/>
    <w:rsid w:val="00754821"/>
    <w:rsid w:val="0075555E"/>
    <w:rsid w:val="00763792"/>
    <w:rsid w:val="00770E2F"/>
    <w:rsid w:val="00773284"/>
    <w:rsid w:val="00787952"/>
    <w:rsid w:val="007929B4"/>
    <w:rsid w:val="007A05CC"/>
    <w:rsid w:val="007A39FC"/>
    <w:rsid w:val="007B36E8"/>
    <w:rsid w:val="007B39CB"/>
    <w:rsid w:val="007B6A4C"/>
    <w:rsid w:val="007C0D3E"/>
    <w:rsid w:val="007C224E"/>
    <w:rsid w:val="007C3CCB"/>
    <w:rsid w:val="007C7EA9"/>
    <w:rsid w:val="007D02DD"/>
    <w:rsid w:val="007D0E79"/>
    <w:rsid w:val="007D2A7C"/>
    <w:rsid w:val="007D2E65"/>
    <w:rsid w:val="007E3FA9"/>
    <w:rsid w:val="007F0D3F"/>
    <w:rsid w:val="00811969"/>
    <w:rsid w:val="00811C67"/>
    <w:rsid w:val="00814F17"/>
    <w:rsid w:val="008161E2"/>
    <w:rsid w:val="00816336"/>
    <w:rsid w:val="00817611"/>
    <w:rsid w:val="00820BBE"/>
    <w:rsid w:val="00823DC7"/>
    <w:rsid w:val="00832B94"/>
    <w:rsid w:val="0083618B"/>
    <w:rsid w:val="008430D5"/>
    <w:rsid w:val="00850E0B"/>
    <w:rsid w:val="00851BFC"/>
    <w:rsid w:val="00856257"/>
    <w:rsid w:val="00856626"/>
    <w:rsid w:val="00857111"/>
    <w:rsid w:val="00857507"/>
    <w:rsid w:val="0086620C"/>
    <w:rsid w:val="00870E87"/>
    <w:rsid w:val="00871256"/>
    <w:rsid w:val="00872FBC"/>
    <w:rsid w:val="008745C3"/>
    <w:rsid w:val="008772C1"/>
    <w:rsid w:val="008900EA"/>
    <w:rsid w:val="008934F7"/>
    <w:rsid w:val="00897630"/>
    <w:rsid w:val="008A0194"/>
    <w:rsid w:val="008A6676"/>
    <w:rsid w:val="008A6684"/>
    <w:rsid w:val="008B2D0F"/>
    <w:rsid w:val="008B343C"/>
    <w:rsid w:val="008B427A"/>
    <w:rsid w:val="008B465C"/>
    <w:rsid w:val="008C2BEE"/>
    <w:rsid w:val="008C47DA"/>
    <w:rsid w:val="008C5341"/>
    <w:rsid w:val="008C57FA"/>
    <w:rsid w:val="008C5A6D"/>
    <w:rsid w:val="008C5D54"/>
    <w:rsid w:val="008D4A8C"/>
    <w:rsid w:val="008E3BF9"/>
    <w:rsid w:val="008F3561"/>
    <w:rsid w:val="008F5247"/>
    <w:rsid w:val="008F55B0"/>
    <w:rsid w:val="00900BCD"/>
    <w:rsid w:val="00904344"/>
    <w:rsid w:val="0091128E"/>
    <w:rsid w:val="00915A5C"/>
    <w:rsid w:val="009235A0"/>
    <w:rsid w:val="00933D8F"/>
    <w:rsid w:val="00945DC7"/>
    <w:rsid w:val="00951EA2"/>
    <w:rsid w:val="00960C73"/>
    <w:rsid w:val="0096151D"/>
    <w:rsid w:val="0097175B"/>
    <w:rsid w:val="00972E18"/>
    <w:rsid w:val="0097356F"/>
    <w:rsid w:val="00973DED"/>
    <w:rsid w:val="0097404A"/>
    <w:rsid w:val="009814C8"/>
    <w:rsid w:val="0098526B"/>
    <w:rsid w:val="00986AD5"/>
    <w:rsid w:val="00994ED4"/>
    <w:rsid w:val="0099514A"/>
    <w:rsid w:val="00996E4E"/>
    <w:rsid w:val="009A6911"/>
    <w:rsid w:val="009A6BA1"/>
    <w:rsid w:val="009B22D2"/>
    <w:rsid w:val="009B30CE"/>
    <w:rsid w:val="009B353A"/>
    <w:rsid w:val="009C1116"/>
    <w:rsid w:val="009C1335"/>
    <w:rsid w:val="009D061E"/>
    <w:rsid w:val="009D1852"/>
    <w:rsid w:val="009D4F12"/>
    <w:rsid w:val="009D597A"/>
    <w:rsid w:val="009D5D88"/>
    <w:rsid w:val="009E51DE"/>
    <w:rsid w:val="009E5909"/>
    <w:rsid w:val="009E703D"/>
    <w:rsid w:val="009F01E0"/>
    <w:rsid w:val="009F08A6"/>
    <w:rsid w:val="009F2B16"/>
    <w:rsid w:val="009F478D"/>
    <w:rsid w:val="009F6D01"/>
    <w:rsid w:val="00A048FA"/>
    <w:rsid w:val="00A10893"/>
    <w:rsid w:val="00A14D41"/>
    <w:rsid w:val="00A314AA"/>
    <w:rsid w:val="00A40428"/>
    <w:rsid w:val="00A4229C"/>
    <w:rsid w:val="00A423AD"/>
    <w:rsid w:val="00A44433"/>
    <w:rsid w:val="00A45B31"/>
    <w:rsid w:val="00A53210"/>
    <w:rsid w:val="00A62B13"/>
    <w:rsid w:val="00A64C38"/>
    <w:rsid w:val="00A671DF"/>
    <w:rsid w:val="00A7675F"/>
    <w:rsid w:val="00A77A03"/>
    <w:rsid w:val="00A81C18"/>
    <w:rsid w:val="00A82C8F"/>
    <w:rsid w:val="00A83F4F"/>
    <w:rsid w:val="00A85E90"/>
    <w:rsid w:val="00A8615B"/>
    <w:rsid w:val="00A93DBE"/>
    <w:rsid w:val="00A94158"/>
    <w:rsid w:val="00A95F14"/>
    <w:rsid w:val="00AA084D"/>
    <w:rsid w:val="00AA08D5"/>
    <w:rsid w:val="00AA4C02"/>
    <w:rsid w:val="00AA616E"/>
    <w:rsid w:val="00AA7048"/>
    <w:rsid w:val="00AA7232"/>
    <w:rsid w:val="00AA7A7A"/>
    <w:rsid w:val="00AB0C5F"/>
    <w:rsid w:val="00AB528C"/>
    <w:rsid w:val="00AC08A9"/>
    <w:rsid w:val="00AC4EC6"/>
    <w:rsid w:val="00AD06B6"/>
    <w:rsid w:val="00AD36E5"/>
    <w:rsid w:val="00AE1A51"/>
    <w:rsid w:val="00AE2367"/>
    <w:rsid w:val="00AE661F"/>
    <w:rsid w:val="00AE6FD0"/>
    <w:rsid w:val="00AF1324"/>
    <w:rsid w:val="00AF3DAC"/>
    <w:rsid w:val="00B03353"/>
    <w:rsid w:val="00B033E2"/>
    <w:rsid w:val="00B042B8"/>
    <w:rsid w:val="00B0788B"/>
    <w:rsid w:val="00B15A32"/>
    <w:rsid w:val="00B1709F"/>
    <w:rsid w:val="00B17E24"/>
    <w:rsid w:val="00B23279"/>
    <w:rsid w:val="00B320F4"/>
    <w:rsid w:val="00B34A55"/>
    <w:rsid w:val="00B400EB"/>
    <w:rsid w:val="00B41E85"/>
    <w:rsid w:val="00B440A3"/>
    <w:rsid w:val="00B449E3"/>
    <w:rsid w:val="00B5106C"/>
    <w:rsid w:val="00B520C3"/>
    <w:rsid w:val="00B6074E"/>
    <w:rsid w:val="00B650B3"/>
    <w:rsid w:val="00B6529E"/>
    <w:rsid w:val="00B662D7"/>
    <w:rsid w:val="00B73DDD"/>
    <w:rsid w:val="00B74FD9"/>
    <w:rsid w:val="00B76F05"/>
    <w:rsid w:val="00B819F9"/>
    <w:rsid w:val="00B84E6C"/>
    <w:rsid w:val="00B9330F"/>
    <w:rsid w:val="00B933D3"/>
    <w:rsid w:val="00B9492F"/>
    <w:rsid w:val="00B95424"/>
    <w:rsid w:val="00B957A2"/>
    <w:rsid w:val="00BA4368"/>
    <w:rsid w:val="00BA7854"/>
    <w:rsid w:val="00BA7DEE"/>
    <w:rsid w:val="00BB19C2"/>
    <w:rsid w:val="00BB7096"/>
    <w:rsid w:val="00BB75B0"/>
    <w:rsid w:val="00BD3217"/>
    <w:rsid w:val="00BD36D1"/>
    <w:rsid w:val="00BD3BD0"/>
    <w:rsid w:val="00BD777B"/>
    <w:rsid w:val="00BE0D6A"/>
    <w:rsid w:val="00BE25C4"/>
    <w:rsid w:val="00BE325C"/>
    <w:rsid w:val="00BE3592"/>
    <w:rsid w:val="00BE7BE9"/>
    <w:rsid w:val="00BF04C0"/>
    <w:rsid w:val="00BF3CBB"/>
    <w:rsid w:val="00BF4BB6"/>
    <w:rsid w:val="00BF61AB"/>
    <w:rsid w:val="00BF7AAE"/>
    <w:rsid w:val="00C00644"/>
    <w:rsid w:val="00C014CC"/>
    <w:rsid w:val="00C10F2C"/>
    <w:rsid w:val="00C152AF"/>
    <w:rsid w:val="00C15934"/>
    <w:rsid w:val="00C169D5"/>
    <w:rsid w:val="00C238D9"/>
    <w:rsid w:val="00C245D2"/>
    <w:rsid w:val="00C24E2A"/>
    <w:rsid w:val="00C25B99"/>
    <w:rsid w:val="00C26445"/>
    <w:rsid w:val="00C31C8D"/>
    <w:rsid w:val="00C3691A"/>
    <w:rsid w:val="00C401A8"/>
    <w:rsid w:val="00C4024B"/>
    <w:rsid w:val="00C44FAD"/>
    <w:rsid w:val="00C45692"/>
    <w:rsid w:val="00C458B0"/>
    <w:rsid w:val="00C5612B"/>
    <w:rsid w:val="00C70A09"/>
    <w:rsid w:val="00C74C4F"/>
    <w:rsid w:val="00C90170"/>
    <w:rsid w:val="00C927CB"/>
    <w:rsid w:val="00C95985"/>
    <w:rsid w:val="00CA41D2"/>
    <w:rsid w:val="00CB7491"/>
    <w:rsid w:val="00CC1E99"/>
    <w:rsid w:val="00CC46CB"/>
    <w:rsid w:val="00CC7735"/>
    <w:rsid w:val="00CD2E17"/>
    <w:rsid w:val="00CD3B44"/>
    <w:rsid w:val="00CE2EE7"/>
    <w:rsid w:val="00CE2F60"/>
    <w:rsid w:val="00CF0147"/>
    <w:rsid w:val="00CF0D15"/>
    <w:rsid w:val="00CF545D"/>
    <w:rsid w:val="00D04B49"/>
    <w:rsid w:val="00D07CBD"/>
    <w:rsid w:val="00D129B6"/>
    <w:rsid w:val="00D12E4E"/>
    <w:rsid w:val="00D162A1"/>
    <w:rsid w:val="00D20552"/>
    <w:rsid w:val="00D24914"/>
    <w:rsid w:val="00D376D9"/>
    <w:rsid w:val="00D40351"/>
    <w:rsid w:val="00D42055"/>
    <w:rsid w:val="00D44A5D"/>
    <w:rsid w:val="00D51A11"/>
    <w:rsid w:val="00D53F2E"/>
    <w:rsid w:val="00D6018E"/>
    <w:rsid w:val="00D628D4"/>
    <w:rsid w:val="00D76247"/>
    <w:rsid w:val="00D77150"/>
    <w:rsid w:val="00D80596"/>
    <w:rsid w:val="00D83717"/>
    <w:rsid w:val="00D8787C"/>
    <w:rsid w:val="00D90DC1"/>
    <w:rsid w:val="00DA4F65"/>
    <w:rsid w:val="00DA5926"/>
    <w:rsid w:val="00DB2DA3"/>
    <w:rsid w:val="00DB2F54"/>
    <w:rsid w:val="00DB4E0E"/>
    <w:rsid w:val="00DB50AD"/>
    <w:rsid w:val="00DB51D0"/>
    <w:rsid w:val="00DB66AD"/>
    <w:rsid w:val="00DC66D3"/>
    <w:rsid w:val="00DD5374"/>
    <w:rsid w:val="00DD57E4"/>
    <w:rsid w:val="00DD7499"/>
    <w:rsid w:val="00DE163E"/>
    <w:rsid w:val="00DE7A1B"/>
    <w:rsid w:val="00DF115C"/>
    <w:rsid w:val="00DF59AB"/>
    <w:rsid w:val="00E02026"/>
    <w:rsid w:val="00E02BC0"/>
    <w:rsid w:val="00E066A1"/>
    <w:rsid w:val="00E07ED7"/>
    <w:rsid w:val="00E12049"/>
    <w:rsid w:val="00E145A1"/>
    <w:rsid w:val="00E157AB"/>
    <w:rsid w:val="00E23C73"/>
    <w:rsid w:val="00E24B2D"/>
    <w:rsid w:val="00E31F51"/>
    <w:rsid w:val="00E348E8"/>
    <w:rsid w:val="00E563E0"/>
    <w:rsid w:val="00E6520F"/>
    <w:rsid w:val="00E66294"/>
    <w:rsid w:val="00E71C99"/>
    <w:rsid w:val="00E72192"/>
    <w:rsid w:val="00E74A3D"/>
    <w:rsid w:val="00E74B3D"/>
    <w:rsid w:val="00E77339"/>
    <w:rsid w:val="00E85898"/>
    <w:rsid w:val="00E87F96"/>
    <w:rsid w:val="00E9430E"/>
    <w:rsid w:val="00EA38C9"/>
    <w:rsid w:val="00EA47ED"/>
    <w:rsid w:val="00EA5A54"/>
    <w:rsid w:val="00EB11EC"/>
    <w:rsid w:val="00EB1873"/>
    <w:rsid w:val="00EB1B59"/>
    <w:rsid w:val="00EB3CAB"/>
    <w:rsid w:val="00EC2792"/>
    <w:rsid w:val="00EC4E79"/>
    <w:rsid w:val="00EC637F"/>
    <w:rsid w:val="00ED0586"/>
    <w:rsid w:val="00ED1973"/>
    <w:rsid w:val="00ED33BC"/>
    <w:rsid w:val="00ED4CFB"/>
    <w:rsid w:val="00EE15BD"/>
    <w:rsid w:val="00EF0681"/>
    <w:rsid w:val="00EF0D16"/>
    <w:rsid w:val="00F0151A"/>
    <w:rsid w:val="00F1295C"/>
    <w:rsid w:val="00F22457"/>
    <w:rsid w:val="00F2326E"/>
    <w:rsid w:val="00F23DB7"/>
    <w:rsid w:val="00F241EE"/>
    <w:rsid w:val="00F31EAA"/>
    <w:rsid w:val="00F3297B"/>
    <w:rsid w:val="00F34BF6"/>
    <w:rsid w:val="00F415C7"/>
    <w:rsid w:val="00F440F6"/>
    <w:rsid w:val="00F45A7C"/>
    <w:rsid w:val="00F47CA1"/>
    <w:rsid w:val="00F6173F"/>
    <w:rsid w:val="00F63A7E"/>
    <w:rsid w:val="00F718B1"/>
    <w:rsid w:val="00F744EC"/>
    <w:rsid w:val="00F773B5"/>
    <w:rsid w:val="00F814B3"/>
    <w:rsid w:val="00F853A9"/>
    <w:rsid w:val="00F85F38"/>
    <w:rsid w:val="00F872D6"/>
    <w:rsid w:val="00F87F6B"/>
    <w:rsid w:val="00F90525"/>
    <w:rsid w:val="00F96CBC"/>
    <w:rsid w:val="00FA2407"/>
    <w:rsid w:val="00FA5B08"/>
    <w:rsid w:val="00FA6B24"/>
    <w:rsid w:val="00FC5740"/>
    <w:rsid w:val="00FD38BC"/>
    <w:rsid w:val="00FD47EA"/>
    <w:rsid w:val="00FD58E4"/>
    <w:rsid w:val="00FE0439"/>
    <w:rsid w:val="00FE0CD8"/>
    <w:rsid w:val="00FE4B6B"/>
    <w:rsid w:val="00FF2E08"/>
    <w:rsid w:val="3FA17075"/>
    <w:rsid w:val="66CE3F5D"/>
    <w:rsid w:val="7427500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semiHidden="0"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39" w:semiHidden="0" w:name="Table Grid"/>
    <w:lsdException w:uiPriority="99" w:name="Table Theme"/>
    <w:lsdException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paragraph" w:styleId="2">
    <w:name w:val="heading 1"/>
    <w:basedOn w:val="1"/>
    <w:next w:val="1"/>
    <w:link w:val="29"/>
    <w:qFormat/>
    <w:uiPriority w:val="9"/>
    <w:pPr>
      <w:keepNext/>
      <w:keepLines/>
      <w:spacing w:before="340" w:after="330" w:line="578" w:lineRule="auto"/>
      <w:outlineLvl w:val="0"/>
    </w:pPr>
    <w:rPr>
      <w:b/>
      <w:bCs/>
      <w:kern w:val="44"/>
      <w:sz w:val="44"/>
      <w:szCs w:val="44"/>
    </w:rPr>
  </w:style>
  <w:style w:type="paragraph" w:styleId="3">
    <w:name w:val="heading 3"/>
    <w:basedOn w:val="1"/>
    <w:link w:val="23"/>
    <w:qFormat/>
    <w:uiPriority w:val="9"/>
    <w:pPr>
      <w:widowControl/>
      <w:spacing w:before="100" w:beforeAutospacing="1" w:after="100" w:afterAutospacing="1"/>
      <w:jc w:val="left"/>
      <w:outlineLvl w:val="2"/>
    </w:pPr>
    <w:rPr>
      <w:rFonts w:ascii="宋体" w:hAnsi="宋体"/>
      <w:b/>
      <w:bCs/>
      <w:kern w:val="0"/>
      <w:sz w:val="27"/>
      <w:szCs w:val="27"/>
    </w:rPr>
  </w:style>
  <w:style w:type="character" w:default="1" w:styleId="14">
    <w:name w:val="Default Paragraph Font"/>
    <w:unhideWhenUsed/>
    <w:uiPriority w:val="1"/>
  </w:style>
  <w:style w:type="table" w:default="1" w:styleId="12">
    <w:name w:val="Normal Table"/>
    <w:unhideWhenUsed/>
    <w:qFormat/>
    <w:uiPriority w:val="99"/>
    <w:tblPr>
      <w:tblStyle w:val="12"/>
      <w:tblLayout w:type="fixed"/>
      <w:tblCellMar>
        <w:top w:w="0" w:type="dxa"/>
        <w:left w:w="108" w:type="dxa"/>
        <w:bottom w:w="0" w:type="dxa"/>
        <w:right w:w="108" w:type="dxa"/>
      </w:tblCellMar>
    </w:tblPr>
  </w:style>
  <w:style w:type="paragraph" w:styleId="4">
    <w:name w:val="Document Map"/>
    <w:basedOn w:val="1"/>
    <w:link w:val="28"/>
    <w:unhideWhenUsed/>
    <w:uiPriority w:val="99"/>
    <w:rPr>
      <w:rFonts w:ascii="宋体"/>
      <w:kern w:val="0"/>
      <w:sz w:val="18"/>
      <w:szCs w:val="18"/>
    </w:rPr>
  </w:style>
  <w:style w:type="paragraph" w:styleId="5">
    <w:name w:val="annotation text"/>
    <w:basedOn w:val="1"/>
    <w:link w:val="25"/>
    <w:unhideWhenUsed/>
    <w:uiPriority w:val="99"/>
    <w:pPr>
      <w:jc w:val="left"/>
    </w:pPr>
  </w:style>
  <w:style w:type="paragraph" w:styleId="6">
    <w:name w:val="Date"/>
    <w:basedOn w:val="1"/>
    <w:next w:val="1"/>
    <w:link w:val="22"/>
    <w:unhideWhenUsed/>
    <w:uiPriority w:val="99"/>
    <w:pPr>
      <w:ind w:left="100" w:leftChars="2500"/>
    </w:pPr>
  </w:style>
  <w:style w:type="paragraph" w:styleId="7">
    <w:name w:val="Balloon Text"/>
    <w:basedOn w:val="1"/>
    <w:link w:val="27"/>
    <w:unhideWhenUsed/>
    <w:uiPriority w:val="99"/>
    <w:rPr>
      <w:kern w:val="0"/>
      <w:sz w:val="18"/>
      <w:szCs w:val="18"/>
    </w:rPr>
  </w:style>
  <w:style w:type="paragraph" w:styleId="8">
    <w:name w:val="footer"/>
    <w:basedOn w:val="1"/>
    <w:link w:val="30"/>
    <w:unhideWhenUsed/>
    <w:uiPriority w:val="99"/>
    <w:pPr>
      <w:tabs>
        <w:tab w:val="center" w:pos="4153"/>
        <w:tab w:val="right" w:pos="8306"/>
      </w:tabs>
      <w:snapToGrid w:val="0"/>
      <w:jc w:val="left"/>
    </w:pPr>
    <w:rPr>
      <w:kern w:val="0"/>
      <w:sz w:val="18"/>
      <w:szCs w:val="18"/>
    </w:rPr>
  </w:style>
  <w:style w:type="paragraph" w:styleId="9">
    <w:name w:val="header"/>
    <w:basedOn w:val="1"/>
    <w:link w:val="21"/>
    <w:unhideWhenUsed/>
    <w:uiPriority w:val="99"/>
    <w:pPr>
      <w:pBdr>
        <w:bottom w:val="single" w:color="auto" w:sz="6" w:space="1"/>
      </w:pBdr>
      <w:tabs>
        <w:tab w:val="center" w:pos="4153"/>
        <w:tab w:val="right" w:pos="8306"/>
      </w:tabs>
      <w:snapToGrid w:val="0"/>
      <w:jc w:val="center"/>
    </w:pPr>
    <w:rPr>
      <w:kern w:val="0"/>
      <w:sz w:val="18"/>
      <w:szCs w:val="18"/>
    </w:rPr>
  </w:style>
  <w:style w:type="paragraph" w:styleId="10">
    <w:name w:val="Normal (Web)"/>
    <w:basedOn w:val="1"/>
    <w:unhideWhenUsed/>
    <w:qFormat/>
    <w:uiPriority w:val="0"/>
    <w:pPr>
      <w:spacing w:before="100" w:beforeAutospacing="1" w:after="100" w:afterAutospacing="1"/>
      <w:jc w:val="left"/>
    </w:pPr>
    <w:rPr>
      <w:rFonts w:cs="Times New Roman"/>
      <w:kern w:val="0"/>
      <w:sz w:val="24"/>
      <w:szCs w:val="24"/>
    </w:rPr>
  </w:style>
  <w:style w:type="paragraph" w:styleId="11">
    <w:name w:val="annotation subject"/>
    <w:basedOn w:val="5"/>
    <w:next w:val="5"/>
    <w:link w:val="31"/>
    <w:unhideWhenUsed/>
    <w:uiPriority w:val="99"/>
    <w:rPr>
      <w:b/>
      <w:bCs/>
      <w:kern w:val="0"/>
      <w:sz w:val="20"/>
      <w:szCs w:val="20"/>
    </w:rPr>
  </w:style>
  <w:style w:type="table" w:styleId="13">
    <w:name w:val="Table Grid"/>
    <w:basedOn w:val="12"/>
    <w:uiPriority w:val="39"/>
    <w:tblPr>
      <w:tblStyle w:val="12"/>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5">
    <w:name w:val="Emphasis"/>
    <w:qFormat/>
    <w:uiPriority w:val="20"/>
    <w:rPr>
      <w:i/>
      <w:iCs/>
    </w:rPr>
  </w:style>
  <w:style w:type="character" w:styleId="16">
    <w:name w:val="Hyperlink"/>
    <w:unhideWhenUsed/>
    <w:uiPriority w:val="99"/>
    <w:rPr>
      <w:color w:val="0000FF"/>
      <w:u w:val="single"/>
    </w:rPr>
  </w:style>
  <w:style w:type="character" w:styleId="17">
    <w:name w:val="annotation reference"/>
    <w:unhideWhenUsed/>
    <w:uiPriority w:val="99"/>
    <w:rPr>
      <w:sz w:val="21"/>
      <w:szCs w:val="21"/>
    </w:rPr>
  </w:style>
  <w:style w:type="paragraph" w:styleId="18">
    <w:name w:val="List Paragraph"/>
    <w:basedOn w:val="1"/>
    <w:qFormat/>
    <w:uiPriority w:val="34"/>
    <w:pPr>
      <w:ind w:firstLine="420" w:firstLineChars="200"/>
    </w:pPr>
  </w:style>
  <w:style w:type="paragraph" w:customStyle="1" w:styleId="19">
    <w:name w:val="1 Char Char Char Char"/>
    <w:basedOn w:val="1"/>
    <w:uiPriority w:val="0"/>
    <w:pPr>
      <w:widowControl/>
      <w:spacing w:after="160" w:line="240" w:lineRule="exact"/>
      <w:jc w:val="left"/>
    </w:pPr>
    <w:rPr>
      <w:rFonts w:ascii="Arial" w:hAnsi="Arial" w:eastAsia="Times New Roman" w:cs="Verdana"/>
      <w:b/>
      <w:kern w:val="0"/>
      <w:sz w:val="24"/>
      <w:szCs w:val="24"/>
      <w:lang w:eastAsia="en-US"/>
    </w:rPr>
  </w:style>
  <w:style w:type="paragraph" w:customStyle="1" w:styleId="20">
    <w:name w:val="Default"/>
    <w:uiPriority w:val="0"/>
    <w:pPr>
      <w:widowControl w:val="0"/>
      <w:autoSpaceDE w:val="0"/>
      <w:autoSpaceDN w:val="0"/>
      <w:adjustRightInd w:val="0"/>
    </w:pPr>
    <w:rPr>
      <w:rFonts w:ascii="FZXiaoBiaoSong-B05" w:eastAsia="FZXiaoBiaoSong-B05" w:cs="FZXiaoBiaoSong-B05"/>
      <w:color w:val="000000"/>
      <w:sz w:val="24"/>
      <w:szCs w:val="24"/>
      <w:lang w:val="en-US" w:eastAsia="zh-CN" w:bidi="ar-SA"/>
    </w:rPr>
  </w:style>
  <w:style w:type="character" w:customStyle="1" w:styleId="21">
    <w:name w:val="页眉 Char"/>
    <w:link w:val="9"/>
    <w:uiPriority w:val="99"/>
    <w:rPr>
      <w:sz w:val="18"/>
      <w:szCs w:val="18"/>
    </w:rPr>
  </w:style>
  <w:style w:type="character" w:customStyle="1" w:styleId="22">
    <w:name w:val="日期 Char"/>
    <w:basedOn w:val="14"/>
    <w:link w:val="6"/>
    <w:semiHidden/>
    <w:uiPriority w:val="99"/>
  </w:style>
  <w:style w:type="character" w:customStyle="1" w:styleId="23">
    <w:name w:val="标题 3 Char"/>
    <w:link w:val="3"/>
    <w:uiPriority w:val="9"/>
    <w:rPr>
      <w:rFonts w:ascii="宋体" w:hAnsi="宋体" w:eastAsia="宋体" w:cs="宋体"/>
      <w:b/>
      <w:bCs/>
      <w:kern w:val="0"/>
      <w:sz w:val="27"/>
      <w:szCs w:val="27"/>
    </w:rPr>
  </w:style>
  <w:style w:type="character" w:customStyle="1" w:styleId="24">
    <w:name w:val="apple-converted-space"/>
    <w:basedOn w:val="14"/>
    <w:uiPriority w:val="0"/>
  </w:style>
  <w:style w:type="character" w:customStyle="1" w:styleId="25">
    <w:name w:val="批注文字 Char"/>
    <w:basedOn w:val="14"/>
    <w:link w:val="5"/>
    <w:semiHidden/>
    <w:uiPriority w:val="99"/>
  </w:style>
  <w:style w:type="character" w:styleId="26">
    <w:name w:val="Placeholder Text"/>
    <w:semiHidden/>
    <w:uiPriority w:val="99"/>
    <w:rPr>
      <w:color w:val="808080"/>
    </w:rPr>
  </w:style>
  <w:style w:type="character" w:customStyle="1" w:styleId="27">
    <w:name w:val="批注框文本 Char"/>
    <w:link w:val="7"/>
    <w:semiHidden/>
    <w:uiPriority w:val="99"/>
    <w:rPr>
      <w:sz w:val="18"/>
      <w:szCs w:val="18"/>
    </w:rPr>
  </w:style>
  <w:style w:type="character" w:customStyle="1" w:styleId="28">
    <w:name w:val="文档结构图 Char"/>
    <w:link w:val="4"/>
    <w:semiHidden/>
    <w:uiPriority w:val="99"/>
    <w:rPr>
      <w:rFonts w:ascii="宋体" w:eastAsia="宋体"/>
      <w:sz w:val="18"/>
      <w:szCs w:val="18"/>
    </w:rPr>
  </w:style>
  <w:style w:type="character" w:customStyle="1" w:styleId="29">
    <w:name w:val="标题 1 Char"/>
    <w:link w:val="2"/>
    <w:uiPriority w:val="9"/>
    <w:rPr>
      <w:b/>
      <w:bCs/>
      <w:kern w:val="44"/>
      <w:sz w:val="44"/>
      <w:szCs w:val="44"/>
    </w:rPr>
  </w:style>
  <w:style w:type="character" w:customStyle="1" w:styleId="30">
    <w:name w:val="页脚 Char"/>
    <w:link w:val="8"/>
    <w:uiPriority w:val="99"/>
    <w:rPr>
      <w:sz w:val="18"/>
      <w:szCs w:val="18"/>
    </w:rPr>
  </w:style>
  <w:style w:type="character" w:customStyle="1" w:styleId="31">
    <w:name w:val="批注主题 Char"/>
    <w:link w:val="11"/>
    <w:semiHidden/>
    <w:uiPriority w:val="99"/>
    <w:rPr>
      <w:b/>
      <w:bC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18</Pages>
  <Words>1401</Words>
  <Characters>7991</Characters>
  <Lines>66</Lines>
  <Paragraphs>18</Paragraphs>
  <TotalTime>0</TotalTime>
  <ScaleCrop>false</ScaleCrop>
  <LinksUpToDate>false</LinksUpToDate>
  <CharactersWithSpaces>9374</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2019-07-24T05:12:00Z</dcterms:created>
  <dc:creator>安科院</dc:creator>
  <cp:lastModifiedBy>Bruce Xu</cp:lastModifiedBy>
  <cp:lastPrinted>2019-07-23T03:24:00Z</cp:lastPrinted>
  <dcterms:modified xsi:type="dcterms:W3CDTF">2019-07-26T03:22:11Z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